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1"/>
        <w:gridCol w:w="9088"/>
      </w:tblGrid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564AB2" w:rsidRPr="0098170E">
              <w:rPr>
                <w:rFonts w:ascii="Trebuchet MS" w:hAnsi="Trebuchet MS"/>
                <w:b/>
              </w:rPr>
              <w:t xml:space="preserve">Presencial </w:t>
            </w:r>
            <w:r w:rsidR="00564AB2">
              <w:rPr>
                <w:rFonts w:ascii="Trebuchet MS" w:hAnsi="Trebuchet MS"/>
                <w:b/>
              </w:rPr>
              <w:t xml:space="preserve">– </w:t>
            </w:r>
            <w:r w:rsidR="00564AB2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EC1FED">
              <w:rPr>
                <w:rFonts w:ascii="Trebuchet MS" w:hAnsi="Trebuchet MS" w:cs="Arial"/>
                <w:b/>
                <w:szCs w:val="28"/>
              </w:rPr>
              <w:t>Ciências Sociais e 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394625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F100A0">
              <w:rPr>
                <w:rFonts w:ascii="Trebuchet MS" w:hAnsi="Trebuchet MS" w:cs="Arial"/>
              </w:rPr>
              <w:t>4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Pr="00D367C5">
              <w:rPr>
                <w:rFonts w:ascii="Trebuchet MS" w:hAnsi="Trebuchet MS" w:cs="Arial"/>
                <w:b/>
              </w:rPr>
              <w:t>–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="00F100A0" w:rsidRPr="00CE1F89">
              <w:rPr>
                <w:rFonts w:ascii="Trebuchet MS" w:hAnsi="Trebuchet MS" w:cs="Arial"/>
                <w:bCs/>
              </w:rPr>
              <w:t>Probabilidades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90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FC46D0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564AB2" w:rsidRDefault="00564AB2" w:rsidP="003E10A3">
      <w:pPr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Objetivos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/</w:t>
      </w: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conteúdos</w:t>
      </w:r>
    </w:p>
    <w:p w:rsidR="00EC1FED" w:rsidRDefault="00EC1FED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FC46D0" w:rsidRPr="00FC46D0" w:rsidRDefault="00FC46D0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Pr="00FC46D0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564AB2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tbl>
      <w:tblPr>
        <w:tblW w:w="0" w:type="auto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3"/>
        <w:gridCol w:w="7499"/>
        <w:gridCol w:w="2835"/>
      </w:tblGrid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F100A0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4</w:t>
            </w: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C1FED" w:rsidRPr="00FC46D0" w:rsidRDefault="00F100A0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Probabilidades</w:t>
            </w:r>
          </w:p>
        </w:tc>
        <w:tc>
          <w:tcPr>
            <w:tcW w:w="7499" w:type="dxa"/>
          </w:tcPr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Problemas de contagem. Cálculo de probabilidades. Lei de Laplace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Princípio fundamental de contagem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 xml:space="preserve">Operações com conjuntos. Leis de </w:t>
            </w:r>
            <w:proofErr w:type="spellStart"/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De</w:t>
            </w:r>
            <w:proofErr w:type="spellEnd"/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 xml:space="preserve"> Morgan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Espaço de resultados. Acontecimentos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 xml:space="preserve">Operações com acontecimentos Definição </w:t>
            </w:r>
            <w:proofErr w:type="spellStart"/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trequencista</w:t>
            </w:r>
            <w:proofErr w:type="spellEnd"/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 xml:space="preserve"> de probabilidade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Definição clássica de probabilidade ou de Laplace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Resolução de problemas</w:t>
            </w:r>
          </w:p>
          <w:p w:rsidR="003E10A3" w:rsidRPr="00FE28B6" w:rsidRDefault="003E10A3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Probabilidade Condicional. Acontecimentos independentes. Regra de </w:t>
            </w:r>
            <w:proofErr w:type="spellStart"/>
            <w:r w:rsidRPr="00FE28B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Bayes</w:t>
            </w:r>
            <w:proofErr w:type="spellEnd"/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Axiomas das probabilidades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Probabilidade condicionada</w:t>
            </w:r>
          </w:p>
          <w:p w:rsidR="00F100A0" w:rsidRPr="00FE28B6" w:rsidRDefault="00F100A0" w:rsidP="00F100A0">
            <w:pPr>
              <w:spacing w:after="0" w:line="240" w:lineRule="auto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Probabilidade da intersecção de dois acontecimentos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Acontecimentos independentes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 xml:space="preserve">Probabilidade total. Regra de </w:t>
            </w:r>
            <w:proofErr w:type="spellStart"/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Bayes</w:t>
            </w:r>
            <w:proofErr w:type="spellEnd"/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Resolução de problemas</w:t>
            </w:r>
          </w:p>
          <w:p w:rsidR="003E10A3" w:rsidRPr="00FE28B6" w:rsidRDefault="003E10A3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Distribuição de frequências relativas e distribuição de probabilidades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Distribuição de probabilidades de uma variável aleatória discreta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Distribuição de frequências versus distribuição de probabilidades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Distribuição binomial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Valor médio, variância, e desvio padrão da distribuição binomial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lastRenderedPageBreak/>
              <w:t>A simetria da distribuição binomial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Variáveis aleatórias c</w:t>
            </w:r>
            <w:bookmarkStart w:id="0" w:name="_GoBack"/>
            <w:bookmarkEnd w:id="0"/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ontínuas. Distribuição Normal</w:t>
            </w:r>
          </w:p>
          <w:p w:rsidR="00F100A0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Distribuição normal estandardizada</w:t>
            </w:r>
          </w:p>
          <w:p w:rsidR="00EC1FED" w:rsidRPr="00FE28B6" w:rsidRDefault="00F100A0" w:rsidP="00F100A0">
            <w:pPr>
              <w:spacing w:after="0" w:line="260" w:lineRule="exact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="Arial"/>
                <w:bCs/>
                <w:sz w:val="20"/>
                <w:szCs w:val="20"/>
              </w:rPr>
              <w:t>Resolução de problemas</w:t>
            </w:r>
          </w:p>
          <w:p w:rsidR="00EC1FED" w:rsidRPr="00FE28B6" w:rsidRDefault="00EC1FED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E10A3" w:rsidRDefault="003E10A3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F100A0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20</w:t>
            </w:r>
            <w:r w:rsidR="00EC1FED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499" w:type="dxa"/>
          </w:tcPr>
          <w:p w:rsidR="00EC1FED" w:rsidRPr="00FE28B6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28B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564AB2" w:rsidRPr="00FC46D0" w:rsidRDefault="00564AB2" w:rsidP="00564AB2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FC46D0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FC46D0">
        <w:rPr>
          <w:rFonts w:asciiTheme="minorHAnsi" w:hAnsiTheme="minorHAnsi" w:cstheme="minorHAnsi"/>
          <w:bCs/>
          <w:sz w:val="20"/>
          <w:szCs w:val="20"/>
        </w:rPr>
        <w:t>.</w:t>
      </w:r>
    </w:p>
    <w:p w:rsidR="00FC46D0" w:rsidRPr="00FC46D0" w:rsidRDefault="00FC46D0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FC46D0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FC46D0" w:rsidRPr="00312F65" w:rsidRDefault="00FC46D0" w:rsidP="00FC46D0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FC46D0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FC46D0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Caberá ao(s) professor(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) 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adotarem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 um critério para fracionar as cotações de modo a classificar os conhecimentos revelados quando a resolução de uma questão não estiver totalmente correta.</w:t>
      </w:r>
    </w:p>
    <w:sectPr w:rsidR="00662348" w:rsidRPr="00FC46D0" w:rsidSect="00F100A0">
      <w:headerReference w:type="default" r:id="rId9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950" w:rsidRDefault="004E1950" w:rsidP="0098170E">
      <w:pPr>
        <w:spacing w:after="0" w:line="240" w:lineRule="auto"/>
      </w:pPr>
      <w:r>
        <w:separator/>
      </w:r>
    </w:p>
  </w:endnote>
  <w:endnote w:type="continuationSeparator" w:id="0">
    <w:p w:rsidR="004E1950" w:rsidRDefault="004E1950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950" w:rsidRDefault="004E1950" w:rsidP="0098170E">
      <w:pPr>
        <w:spacing w:after="0" w:line="240" w:lineRule="auto"/>
      </w:pPr>
      <w:r>
        <w:separator/>
      </w:r>
    </w:p>
  </w:footnote>
  <w:footnote w:type="continuationSeparator" w:id="0">
    <w:p w:rsidR="004E1950" w:rsidRDefault="004E1950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 wp14:anchorId="40B9DAFB" wp14:editId="35129A0A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48"/>
    <w:rsid w:val="000F135F"/>
    <w:rsid w:val="000F4457"/>
    <w:rsid w:val="00136531"/>
    <w:rsid w:val="001A6BE8"/>
    <w:rsid w:val="001C1115"/>
    <w:rsid w:val="00287684"/>
    <w:rsid w:val="00301FB8"/>
    <w:rsid w:val="00312F65"/>
    <w:rsid w:val="00391F7C"/>
    <w:rsid w:val="00394625"/>
    <w:rsid w:val="003E10A3"/>
    <w:rsid w:val="004E1950"/>
    <w:rsid w:val="00564AB2"/>
    <w:rsid w:val="00662348"/>
    <w:rsid w:val="006E3B25"/>
    <w:rsid w:val="007C24DC"/>
    <w:rsid w:val="008100D6"/>
    <w:rsid w:val="00826BA9"/>
    <w:rsid w:val="0093389A"/>
    <w:rsid w:val="0098170E"/>
    <w:rsid w:val="00AF2404"/>
    <w:rsid w:val="00B360AF"/>
    <w:rsid w:val="00C12A60"/>
    <w:rsid w:val="00CE1F89"/>
    <w:rsid w:val="00E01CCE"/>
    <w:rsid w:val="00E27E7A"/>
    <w:rsid w:val="00E7694B"/>
    <w:rsid w:val="00EC1FED"/>
    <w:rsid w:val="00F100A0"/>
    <w:rsid w:val="00FC3F98"/>
    <w:rsid w:val="00FC46D0"/>
    <w:rsid w:val="00FE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D7529-CEF5-4972-B7E0-B3F188FB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462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Maria Amelia Paraiso</cp:lastModifiedBy>
  <cp:revision>6</cp:revision>
  <dcterms:created xsi:type="dcterms:W3CDTF">2016-01-12T15:40:00Z</dcterms:created>
  <dcterms:modified xsi:type="dcterms:W3CDTF">2016-01-12T16:29:00Z</dcterms:modified>
</cp:coreProperties>
</file>