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6"/>
        <w:gridCol w:w="823"/>
        <w:gridCol w:w="1644"/>
        <w:gridCol w:w="1645"/>
        <w:gridCol w:w="822"/>
        <w:gridCol w:w="2467"/>
      </w:tblGrid>
      <w:tr w:rsidR="004D36E6" w14:paraId="5CE045FE" w14:textId="77777777" w:rsidTr="00083E45">
        <w:trPr>
          <w:jc w:val="center"/>
        </w:trPr>
        <w:tc>
          <w:tcPr>
            <w:tcW w:w="4933" w:type="dxa"/>
            <w:gridSpan w:val="3"/>
            <w:vAlign w:val="center"/>
          </w:tcPr>
          <w:p w14:paraId="5B6C1BDE" w14:textId="77777777" w:rsidR="004D36E6" w:rsidRDefault="004D36E6" w:rsidP="00083E45">
            <w:pPr>
              <w:jc w:val="center"/>
            </w:pPr>
            <w:r>
              <w:rPr>
                <w:rFonts w:ascii="Trebuchet MS" w:hAnsi="Trebuchet MS"/>
                <w:noProof/>
                <w:sz w:val="20"/>
                <w:szCs w:val="20"/>
                <w:lang w:val="en-US"/>
              </w:rPr>
              <w:drawing>
                <wp:inline distT="0" distB="0" distL="0" distR="0" wp14:anchorId="2506C0D7" wp14:editId="0F20B387">
                  <wp:extent cx="2155190" cy="460284"/>
                  <wp:effectExtent l="0" t="0" r="381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401" cy="46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4" w:type="dxa"/>
            <w:gridSpan w:val="3"/>
            <w:vAlign w:val="center"/>
          </w:tcPr>
          <w:p w14:paraId="5D75FA86" w14:textId="77777777" w:rsidR="004D36E6" w:rsidRPr="00FA4175" w:rsidRDefault="004D36E6" w:rsidP="00083E45">
            <w:pPr>
              <w:jc w:val="center"/>
              <w:rPr>
                <w:rFonts w:ascii="Trebuchet MS" w:hAnsi="Trebuchet MS"/>
                <w:b/>
                <w:color w:val="000000"/>
                <w:sz w:val="14"/>
                <w:szCs w:val="14"/>
              </w:rPr>
            </w:pPr>
            <w:r w:rsidRPr="00FA4175">
              <w:rPr>
                <w:rFonts w:ascii="Trebuchet MS" w:hAnsi="Trebuchet MS"/>
                <w:b/>
                <w:color w:val="000000"/>
                <w:sz w:val="14"/>
                <w:szCs w:val="14"/>
              </w:rPr>
              <w:t>DIREÇÃO GERAL DOS ESTABELECIMENTOS ESCOLARES</w:t>
            </w:r>
          </w:p>
          <w:p w14:paraId="1218CF95" w14:textId="77777777" w:rsidR="004D36E6" w:rsidRDefault="004D36E6" w:rsidP="00083E45">
            <w:pPr>
              <w:jc w:val="center"/>
            </w:pPr>
            <w:proofErr w:type="spellStart"/>
            <w:r w:rsidRPr="00FA4175">
              <w:rPr>
                <w:rFonts w:ascii="Trebuchet MS" w:hAnsi="Trebuchet MS"/>
                <w:b/>
                <w:color w:val="000000"/>
                <w:sz w:val="14"/>
                <w:szCs w:val="14"/>
              </w:rPr>
              <w:t>Direção</w:t>
            </w:r>
            <w:proofErr w:type="spellEnd"/>
            <w:r w:rsidRPr="00FA4175">
              <w:rPr>
                <w:rFonts w:ascii="Trebuchet MS" w:hAnsi="Trebuchet MS"/>
                <w:b/>
                <w:color w:val="000000"/>
                <w:sz w:val="14"/>
                <w:szCs w:val="14"/>
              </w:rPr>
              <w:t xml:space="preserve"> de Serviços Região de Lisboa e Vale do Tejo</w:t>
            </w:r>
          </w:p>
        </w:tc>
      </w:tr>
      <w:tr w:rsidR="004D36E6" w:rsidRPr="004D36E6" w14:paraId="248DD92D" w14:textId="77777777" w:rsidTr="00083E45">
        <w:trPr>
          <w:jc w:val="center"/>
        </w:trPr>
        <w:tc>
          <w:tcPr>
            <w:tcW w:w="3289" w:type="dxa"/>
            <w:gridSpan w:val="2"/>
            <w:vAlign w:val="center"/>
          </w:tcPr>
          <w:p w14:paraId="22EA0A53" w14:textId="77777777" w:rsidR="004D36E6" w:rsidRPr="004D36E6" w:rsidRDefault="004D36E6" w:rsidP="00083E45">
            <w:pPr>
              <w:jc w:val="center"/>
              <w:rPr>
                <w:rFonts w:ascii="Calibri" w:hAnsi="Calibri"/>
              </w:rPr>
            </w:pPr>
            <w:r w:rsidRPr="004D36E6">
              <w:rPr>
                <w:rFonts w:ascii="Calibri" w:hAnsi="Calibri"/>
                <w:noProof/>
                <w:lang w:val="en-US"/>
              </w:rPr>
              <w:drawing>
                <wp:inline distT="0" distB="0" distL="0" distR="0" wp14:anchorId="7493F717" wp14:editId="6B7B1E45">
                  <wp:extent cx="1717040" cy="502058"/>
                  <wp:effectExtent l="0" t="0" r="10160" b="635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40" cy="502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gridSpan w:val="2"/>
            <w:vAlign w:val="center"/>
          </w:tcPr>
          <w:p w14:paraId="079ADEF5" w14:textId="77777777" w:rsidR="004D36E6" w:rsidRPr="004D36E6" w:rsidRDefault="004D36E6" w:rsidP="00083E45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pt-BR"/>
              </w:rPr>
            </w:pPr>
            <w:r w:rsidRPr="004D36E6">
              <w:rPr>
                <w:rFonts w:ascii="Calibri" w:hAnsi="Calibri"/>
                <w:b/>
                <w:color w:val="000000"/>
                <w:sz w:val="18"/>
                <w:szCs w:val="18"/>
                <w:lang w:val="pt-BR"/>
              </w:rPr>
              <w:t>ESCOLA SECUNDÁRIA D. PEDRO V</w:t>
            </w:r>
          </w:p>
          <w:p w14:paraId="5B681772" w14:textId="77777777" w:rsidR="004D36E6" w:rsidRPr="004D36E6" w:rsidRDefault="004D36E6" w:rsidP="00083E45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</w:pPr>
          </w:p>
          <w:p w14:paraId="43586454" w14:textId="77777777" w:rsidR="004D36E6" w:rsidRPr="004D36E6" w:rsidRDefault="004D36E6" w:rsidP="00083E45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</w:pPr>
            <w:r w:rsidRPr="004D36E6"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  <w:t>Ensino Recorrente por Módulos Capitalizáveis</w:t>
            </w:r>
          </w:p>
        </w:tc>
        <w:tc>
          <w:tcPr>
            <w:tcW w:w="3289" w:type="dxa"/>
            <w:gridSpan w:val="2"/>
            <w:vAlign w:val="center"/>
          </w:tcPr>
          <w:p w14:paraId="310DC448" w14:textId="77777777" w:rsidR="004D36E6" w:rsidRPr="004D36E6" w:rsidRDefault="004D36E6" w:rsidP="00083E45">
            <w:pPr>
              <w:pStyle w:val="Header"/>
              <w:jc w:val="center"/>
              <w:rPr>
                <w:b/>
                <w:sz w:val="18"/>
                <w:szCs w:val="18"/>
              </w:rPr>
            </w:pPr>
            <w:r w:rsidRPr="004D36E6">
              <w:rPr>
                <w:b/>
                <w:sz w:val="18"/>
                <w:szCs w:val="18"/>
              </w:rPr>
              <w:t>Avaliação em regime Não Presencial</w:t>
            </w:r>
          </w:p>
          <w:p w14:paraId="782FC8DB" w14:textId="77777777" w:rsidR="004D36E6" w:rsidRPr="004D36E6" w:rsidRDefault="004D36E6" w:rsidP="00083E45">
            <w:pPr>
              <w:pStyle w:val="Header"/>
              <w:jc w:val="center"/>
              <w:rPr>
                <w:rFonts w:cs="Arial"/>
                <w:b/>
                <w:smallCaps/>
                <w:sz w:val="16"/>
                <w:szCs w:val="16"/>
              </w:rPr>
            </w:pPr>
          </w:p>
          <w:p w14:paraId="5C397D6E" w14:textId="77777777" w:rsidR="004D36E6" w:rsidRPr="004D36E6" w:rsidRDefault="004D36E6" w:rsidP="00083E45">
            <w:pPr>
              <w:jc w:val="center"/>
              <w:rPr>
                <w:rFonts w:ascii="Calibri" w:hAnsi="Calibri"/>
              </w:rPr>
            </w:pPr>
            <w:r w:rsidRPr="004D36E6">
              <w:rPr>
                <w:rFonts w:ascii="Calibri" w:hAnsi="Calibri" w:cs="Arial"/>
                <w:b/>
                <w:sz w:val="16"/>
                <w:szCs w:val="16"/>
              </w:rPr>
              <w:t xml:space="preserve">Matriz de Prova </w:t>
            </w:r>
          </w:p>
        </w:tc>
      </w:tr>
      <w:tr w:rsidR="004D36E6" w:rsidRPr="004D36E6" w14:paraId="03EC8DC0" w14:textId="77777777" w:rsidTr="00083E45">
        <w:trPr>
          <w:trHeight w:val="284"/>
          <w:jc w:val="center"/>
        </w:trPr>
        <w:tc>
          <w:tcPr>
            <w:tcW w:w="2466" w:type="dxa"/>
            <w:vAlign w:val="center"/>
          </w:tcPr>
          <w:p w14:paraId="70D1629E" w14:textId="77777777" w:rsidR="004D36E6" w:rsidRPr="004D36E6" w:rsidRDefault="004D36E6" w:rsidP="00083E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4D36E6">
              <w:rPr>
                <w:rFonts w:ascii="Calibri" w:hAnsi="Calibri"/>
                <w:b/>
                <w:sz w:val="16"/>
                <w:szCs w:val="16"/>
              </w:rPr>
              <w:t>Curso Línguas e Humanidades</w:t>
            </w:r>
          </w:p>
        </w:tc>
        <w:tc>
          <w:tcPr>
            <w:tcW w:w="2467" w:type="dxa"/>
            <w:gridSpan w:val="2"/>
            <w:vAlign w:val="center"/>
          </w:tcPr>
          <w:p w14:paraId="2BC14E59" w14:textId="77777777" w:rsidR="004D36E6" w:rsidRPr="004D36E6" w:rsidRDefault="004D36E6" w:rsidP="00083E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4D36E6">
              <w:rPr>
                <w:rFonts w:ascii="Calibri" w:hAnsi="Calibri"/>
                <w:b/>
                <w:sz w:val="16"/>
                <w:szCs w:val="16"/>
              </w:rPr>
              <w:t>Disciplina: História A</w:t>
            </w:r>
          </w:p>
        </w:tc>
        <w:tc>
          <w:tcPr>
            <w:tcW w:w="2467" w:type="dxa"/>
            <w:gridSpan w:val="2"/>
            <w:vAlign w:val="center"/>
          </w:tcPr>
          <w:p w14:paraId="31E7650E" w14:textId="6D453313" w:rsidR="004D36E6" w:rsidRPr="004D36E6" w:rsidRDefault="004D36E6" w:rsidP="00083E4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D36E6">
              <w:rPr>
                <w:rFonts w:ascii="Calibri" w:hAnsi="Calibri"/>
                <w:b/>
                <w:sz w:val="16"/>
                <w:szCs w:val="16"/>
              </w:rPr>
              <w:t>Módulo 3</w:t>
            </w:r>
          </w:p>
        </w:tc>
        <w:tc>
          <w:tcPr>
            <w:tcW w:w="2467" w:type="dxa"/>
            <w:vAlign w:val="center"/>
          </w:tcPr>
          <w:p w14:paraId="151C90D2" w14:textId="12C56368" w:rsidR="004D36E6" w:rsidRPr="004D36E6" w:rsidRDefault="004D36E6" w:rsidP="00083E4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D36E6">
              <w:rPr>
                <w:rFonts w:ascii="Calibri" w:hAnsi="Calibri"/>
                <w:b/>
                <w:sz w:val="16"/>
                <w:szCs w:val="16"/>
              </w:rPr>
              <w:t>Duração da Prova: 90 m</w:t>
            </w:r>
          </w:p>
        </w:tc>
      </w:tr>
    </w:tbl>
    <w:p w14:paraId="1839BF8A" w14:textId="77777777" w:rsidR="00BF2A64" w:rsidRDefault="00BF2A64" w:rsidP="007F229A">
      <w:pPr>
        <w:jc w:val="center"/>
        <w:rPr>
          <w:rFonts w:ascii="Trebuchet MS" w:hAnsi="Trebuchet MS"/>
          <w:sz w:val="20"/>
        </w:rPr>
      </w:pPr>
    </w:p>
    <w:p w14:paraId="7A75C1FC" w14:textId="77777777" w:rsidR="00BF2A64" w:rsidRPr="009A07C4" w:rsidRDefault="00BF2A64" w:rsidP="00BF2A64">
      <w:pPr>
        <w:jc w:val="center"/>
        <w:rPr>
          <w:rFonts w:ascii="Trebuchet MS" w:hAnsi="Trebuchet MS"/>
          <w:sz w:val="20"/>
        </w:rPr>
      </w:pPr>
    </w:p>
    <w:p w14:paraId="129FCAE0" w14:textId="77777777" w:rsidR="00BF2A64" w:rsidRPr="00FE4DFE" w:rsidRDefault="00BF2A64" w:rsidP="00BF2A64">
      <w:pPr>
        <w:jc w:val="center"/>
        <w:rPr>
          <w:rFonts w:ascii="Trebuchet MS" w:hAnsi="Trebuchet MS"/>
          <w:b/>
          <w:sz w:val="20"/>
        </w:rPr>
      </w:pPr>
    </w:p>
    <w:p w14:paraId="17369D43" w14:textId="77777777" w:rsidR="00BF2A64" w:rsidRPr="001C01EA" w:rsidRDefault="00BF2A64" w:rsidP="00BF2A64">
      <w:pPr>
        <w:widowControl w:val="0"/>
        <w:autoSpaceDE w:val="0"/>
        <w:autoSpaceDN w:val="0"/>
        <w:adjustRightInd w:val="0"/>
        <w:jc w:val="both"/>
        <w:rPr>
          <w:rFonts w:ascii="Trebuchet MS" w:hAnsi="Trebuchet MS"/>
          <w:b/>
          <w:sz w:val="20"/>
          <w:szCs w:val="18"/>
        </w:rPr>
      </w:pPr>
      <w:r w:rsidRPr="001C01EA">
        <w:rPr>
          <w:rFonts w:ascii="Trebuchet MS" w:hAnsi="Trebuchet MS"/>
          <w:b/>
          <w:sz w:val="20"/>
          <w:szCs w:val="18"/>
        </w:rPr>
        <w:t>Módulo 3: A Abertura Europeia ao Mundo – Mutações nos conhecimentos, sensibilidades e valores nos séculos XV e XVI</w:t>
      </w:r>
    </w:p>
    <w:p w14:paraId="253BDB6C" w14:textId="77777777" w:rsidR="00BF2A64" w:rsidRPr="00FE4DFE" w:rsidRDefault="00BF2A64" w:rsidP="00BF2A64">
      <w:pPr>
        <w:jc w:val="center"/>
        <w:rPr>
          <w:rFonts w:ascii="Trebuchet MS" w:hAnsi="Trebuchet MS"/>
          <w:b/>
          <w:sz w:val="20"/>
        </w:rPr>
      </w:pPr>
    </w:p>
    <w:p w14:paraId="045D8E09" w14:textId="77777777" w:rsidR="00BF2A64" w:rsidRPr="009A07C4" w:rsidRDefault="00BF2A64" w:rsidP="00BF2A64">
      <w:pPr>
        <w:jc w:val="both"/>
        <w:rPr>
          <w:rFonts w:ascii="Trebuchet MS" w:hAnsi="Trebuchet MS"/>
          <w:sz w:val="20"/>
        </w:rPr>
      </w:pPr>
    </w:p>
    <w:p w14:paraId="141EB3E8" w14:textId="77777777" w:rsidR="00BF2A64" w:rsidRPr="009A07C4" w:rsidRDefault="00BF2A64" w:rsidP="00BF2A64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b/>
          <w:sz w:val="20"/>
        </w:rPr>
        <w:t>1. Objecto de avaliação</w:t>
      </w:r>
      <w:r w:rsidRPr="009A07C4">
        <w:rPr>
          <w:rFonts w:ascii="Trebuchet MS" w:hAnsi="Trebuchet MS"/>
          <w:sz w:val="20"/>
        </w:rPr>
        <w:t xml:space="preserve">: conteúdos do módulo 3 do Programa de História A. </w:t>
      </w:r>
    </w:p>
    <w:p w14:paraId="0C8710CE" w14:textId="77777777" w:rsidR="00BF2A64" w:rsidRPr="009A07C4" w:rsidRDefault="00BF2A64" w:rsidP="00BF2A64">
      <w:pPr>
        <w:jc w:val="both"/>
        <w:rPr>
          <w:rFonts w:ascii="Trebuchet MS" w:hAnsi="Trebuchet MS"/>
          <w:sz w:val="20"/>
        </w:rPr>
      </w:pPr>
    </w:p>
    <w:p w14:paraId="349C5FEA" w14:textId="77777777" w:rsidR="00BF2A64" w:rsidRPr="009A07C4" w:rsidRDefault="00BF2A64" w:rsidP="00BF2A64">
      <w:pPr>
        <w:jc w:val="both"/>
        <w:rPr>
          <w:rFonts w:ascii="Trebuchet MS" w:hAnsi="Trebuchet MS"/>
          <w:b/>
          <w:sz w:val="20"/>
        </w:rPr>
      </w:pPr>
      <w:r w:rsidRPr="009A07C4">
        <w:rPr>
          <w:rFonts w:ascii="Trebuchet MS" w:hAnsi="Trebuchet MS"/>
          <w:b/>
          <w:sz w:val="20"/>
        </w:rPr>
        <w:t>2. Caracterização da prova</w:t>
      </w:r>
    </w:p>
    <w:p w14:paraId="6E186CDF" w14:textId="77777777" w:rsidR="00BF2A64" w:rsidRPr="009A07C4" w:rsidRDefault="00BF2A64" w:rsidP="00BF2A64">
      <w:pPr>
        <w:jc w:val="both"/>
        <w:rPr>
          <w:rFonts w:ascii="Trebuchet MS" w:hAnsi="Trebuchet MS"/>
          <w:sz w:val="20"/>
        </w:rPr>
      </w:pPr>
    </w:p>
    <w:p w14:paraId="3A159130" w14:textId="77777777" w:rsidR="00BF2A64" w:rsidRPr="002C7A63" w:rsidRDefault="00BF2A64" w:rsidP="00BF2A64">
      <w:pPr>
        <w:jc w:val="both"/>
        <w:rPr>
          <w:rFonts w:ascii="Trebuchet MS" w:hAnsi="Trebuchet MS"/>
          <w:sz w:val="20"/>
        </w:rPr>
      </w:pPr>
      <w:r w:rsidRPr="002C7A63">
        <w:rPr>
          <w:rFonts w:ascii="Trebuchet MS" w:hAnsi="Trebuchet MS"/>
          <w:sz w:val="20"/>
        </w:rPr>
        <w:t>2.1. Duração: A prova tem a duração de 90 minutos.</w:t>
      </w:r>
    </w:p>
    <w:p w14:paraId="686FA0BF" w14:textId="77777777" w:rsidR="00BF2A64" w:rsidRPr="009A07C4" w:rsidRDefault="00BF2A64" w:rsidP="00BF2A64">
      <w:pPr>
        <w:jc w:val="both"/>
        <w:rPr>
          <w:rFonts w:ascii="Trebuchet MS" w:hAnsi="Trebuchet MS"/>
          <w:b/>
          <w:sz w:val="20"/>
        </w:rPr>
      </w:pPr>
    </w:p>
    <w:p w14:paraId="1D76B613" w14:textId="77777777" w:rsidR="00BF2A64" w:rsidRPr="002C7A63" w:rsidRDefault="00BF2A64" w:rsidP="00BF2A64">
      <w:pPr>
        <w:jc w:val="both"/>
        <w:rPr>
          <w:rFonts w:ascii="Trebuchet MS" w:hAnsi="Trebuchet MS"/>
          <w:sz w:val="20"/>
        </w:rPr>
      </w:pPr>
      <w:r w:rsidRPr="002C7A63">
        <w:rPr>
          <w:rFonts w:ascii="Trebuchet MS" w:hAnsi="Trebuchet MS"/>
          <w:sz w:val="20"/>
        </w:rPr>
        <w:t>2.2. Conteúdos</w:t>
      </w:r>
    </w:p>
    <w:p w14:paraId="6E33C5F3" w14:textId="77777777" w:rsidR="00BF2A64" w:rsidRPr="009A07C4" w:rsidRDefault="00BF2A64" w:rsidP="00BF2A64">
      <w:pPr>
        <w:jc w:val="both"/>
        <w:rPr>
          <w:rFonts w:ascii="Trebuchet MS" w:hAnsi="Trebuchet MS"/>
          <w:b/>
          <w:sz w:val="20"/>
        </w:rPr>
      </w:pPr>
    </w:p>
    <w:p w14:paraId="533DED51" w14:textId="77777777" w:rsidR="00BF2A64" w:rsidRPr="009A07C4" w:rsidRDefault="00BF2A64" w:rsidP="00BF2A64">
      <w:pPr>
        <w:jc w:val="both"/>
        <w:rPr>
          <w:rFonts w:ascii="Trebuchet MS" w:hAnsi="Trebuchet MS"/>
          <w:b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6804"/>
        <w:gridCol w:w="1312"/>
      </w:tblGrid>
      <w:tr w:rsidR="00BF2A64" w:rsidRPr="00BF2A64" w14:paraId="34C8634C" w14:textId="77777777" w:rsidTr="00BF2A64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9C627F4" w14:textId="77777777" w:rsidR="00BF2A64" w:rsidRPr="00BF2A64" w:rsidRDefault="00BF2A64" w:rsidP="00BF2A64">
            <w:pPr>
              <w:jc w:val="center"/>
              <w:rPr>
                <w:rFonts w:ascii="Trebuchet MS" w:hAnsi="Trebuchet MS"/>
                <w:b/>
                <w:i/>
                <w:sz w:val="16"/>
                <w:lang w:bidi="x-none"/>
              </w:rPr>
            </w:pPr>
            <w:r w:rsidRPr="00BF2A64">
              <w:rPr>
                <w:rFonts w:ascii="Trebuchet MS" w:hAnsi="Trebuchet MS"/>
                <w:b/>
                <w:i/>
                <w:sz w:val="16"/>
                <w:lang w:bidi="x-none"/>
              </w:rPr>
              <w:t>Grupos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1F761DB" w14:textId="77777777" w:rsidR="00BF2A64" w:rsidRPr="00BF2A64" w:rsidRDefault="00BF2A64" w:rsidP="00BF2A64">
            <w:pPr>
              <w:jc w:val="center"/>
              <w:rPr>
                <w:rFonts w:ascii="Trebuchet MS" w:hAnsi="Trebuchet MS"/>
                <w:b/>
                <w:i/>
                <w:sz w:val="16"/>
                <w:lang w:bidi="x-none"/>
              </w:rPr>
            </w:pPr>
            <w:r w:rsidRPr="00BF2A64">
              <w:rPr>
                <w:rFonts w:ascii="Trebuchet MS" w:hAnsi="Trebuchet MS"/>
                <w:b/>
                <w:i/>
                <w:sz w:val="16"/>
                <w:lang w:bidi="x-none"/>
              </w:rPr>
              <w:t>Conteúdos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A71DA76" w14:textId="77777777" w:rsidR="00BF2A64" w:rsidRPr="00BF2A64" w:rsidRDefault="00BF2A64" w:rsidP="00BF2A64">
            <w:pPr>
              <w:jc w:val="center"/>
              <w:rPr>
                <w:rFonts w:ascii="Trebuchet MS" w:hAnsi="Trebuchet MS"/>
                <w:b/>
                <w:i/>
                <w:sz w:val="16"/>
                <w:lang w:bidi="x-none"/>
              </w:rPr>
            </w:pPr>
            <w:r w:rsidRPr="00BF2A64">
              <w:rPr>
                <w:rFonts w:ascii="Trebuchet MS" w:hAnsi="Trebuchet MS"/>
                <w:b/>
                <w:i/>
                <w:sz w:val="16"/>
                <w:lang w:bidi="x-none"/>
              </w:rPr>
              <w:t>Cotação</w:t>
            </w:r>
          </w:p>
          <w:p w14:paraId="5CD6BAC8" w14:textId="77777777" w:rsidR="00BF2A64" w:rsidRPr="00BF2A64" w:rsidRDefault="00BF2A64" w:rsidP="00BF2A64">
            <w:pPr>
              <w:jc w:val="center"/>
              <w:rPr>
                <w:rFonts w:ascii="Trebuchet MS" w:hAnsi="Trebuchet MS"/>
                <w:b/>
                <w:i/>
                <w:sz w:val="16"/>
                <w:lang w:bidi="x-none"/>
              </w:rPr>
            </w:pPr>
            <w:r w:rsidRPr="00BF2A64">
              <w:rPr>
                <w:rFonts w:ascii="Trebuchet MS" w:hAnsi="Trebuchet MS"/>
                <w:b/>
                <w:i/>
                <w:sz w:val="16"/>
                <w:lang w:bidi="x-none"/>
              </w:rPr>
              <w:t>(em pontos)</w:t>
            </w:r>
          </w:p>
        </w:tc>
      </w:tr>
      <w:tr w:rsidR="00BF2A64" w:rsidRPr="00BF2A64" w14:paraId="195622D3" w14:textId="77777777" w:rsidTr="00BF2A64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6962FE2" w14:textId="77777777" w:rsidR="00BF2A64" w:rsidRPr="00BF2A64" w:rsidRDefault="00BF2A64" w:rsidP="00BF2A64">
            <w:pPr>
              <w:jc w:val="center"/>
              <w:rPr>
                <w:rFonts w:ascii="Trebuchet MS" w:hAnsi="Trebuchet MS"/>
                <w:b/>
                <w:sz w:val="16"/>
                <w:lang w:bidi="x-none"/>
              </w:rPr>
            </w:pPr>
            <w:r w:rsidRPr="00BF2A64">
              <w:rPr>
                <w:rFonts w:ascii="Trebuchet MS" w:hAnsi="Trebuchet MS"/>
                <w:b/>
                <w:sz w:val="16"/>
                <w:lang w:bidi="x-none"/>
              </w:rPr>
              <w:t>I</w:t>
            </w:r>
          </w:p>
        </w:tc>
        <w:tc>
          <w:tcPr>
            <w:tcW w:w="6804" w:type="dxa"/>
            <w:shd w:val="clear" w:color="auto" w:fill="auto"/>
          </w:tcPr>
          <w:p w14:paraId="4AB79956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b/>
                <w:sz w:val="16"/>
                <w:szCs w:val="18"/>
                <w:lang w:bidi="x-none"/>
              </w:rPr>
              <w:t>1. A geografia cultural europeia de Quatrocentos e Quinhentos</w:t>
            </w:r>
          </w:p>
          <w:p w14:paraId="008266D7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Principais centros culturais de produção e difusão de sínteses e inovações.</w:t>
            </w:r>
          </w:p>
          <w:p w14:paraId="25AFFD7B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O cosmopolitismo das cidades hispânicas – importância de Lisboa e Sevilha.</w:t>
            </w:r>
          </w:p>
          <w:p w14:paraId="6B9C1413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</w:p>
          <w:p w14:paraId="5DBB11AD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b/>
                <w:sz w:val="16"/>
                <w:szCs w:val="18"/>
                <w:lang w:bidi="x-none"/>
              </w:rPr>
              <w:t>2. O alargamento do conhecimento do mundo</w:t>
            </w:r>
          </w:p>
          <w:p w14:paraId="6CA20A50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O contributo português: inovação técnica; observação e descrição da natureza.</w:t>
            </w:r>
          </w:p>
          <w:p w14:paraId="1F72918E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A matematização do real; a revolução das concepções cosmológicas</w:t>
            </w:r>
          </w:p>
          <w:p w14:paraId="0946BD0C" w14:textId="77777777" w:rsidR="00BF2A64" w:rsidRPr="00BF2A64" w:rsidRDefault="00BF2A64" w:rsidP="00BF2A64">
            <w:pPr>
              <w:jc w:val="both"/>
              <w:rPr>
                <w:sz w:val="16"/>
                <w:szCs w:val="18"/>
                <w:lang w:bidi="x-none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9CF1B45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16"/>
                <w:lang w:bidi="x-none"/>
              </w:rPr>
            </w:pPr>
            <w:r w:rsidRPr="00BF2A64">
              <w:rPr>
                <w:rFonts w:ascii="Trebuchet MS" w:hAnsi="Trebuchet MS"/>
                <w:color w:val="000000"/>
                <w:sz w:val="16"/>
                <w:szCs w:val="20"/>
                <w:lang w:bidi="x-none"/>
              </w:rPr>
              <w:t>60 pontos</w:t>
            </w:r>
          </w:p>
        </w:tc>
      </w:tr>
      <w:tr w:rsidR="00BF2A64" w:rsidRPr="00BF2A64" w14:paraId="569FDC4D" w14:textId="77777777" w:rsidTr="00BF2A64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1882BCC4" w14:textId="77777777" w:rsidR="00BF2A64" w:rsidRPr="00BF2A64" w:rsidRDefault="00BF2A64" w:rsidP="00BF2A64">
            <w:pPr>
              <w:jc w:val="center"/>
              <w:rPr>
                <w:rFonts w:ascii="Trebuchet MS" w:hAnsi="Trebuchet MS"/>
                <w:b/>
                <w:sz w:val="16"/>
                <w:lang w:bidi="x-none"/>
              </w:rPr>
            </w:pPr>
            <w:r w:rsidRPr="00BF2A64">
              <w:rPr>
                <w:rFonts w:ascii="Trebuchet MS" w:hAnsi="Trebuchet MS"/>
                <w:b/>
                <w:sz w:val="16"/>
                <w:lang w:bidi="x-none"/>
              </w:rPr>
              <w:t>II</w:t>
            </w:r>
          </w:p>
        </w:tc>
        <w:tc>
          <w:tcPr>
            <w:tcW w:w="6804" w:type="dxa"/>
            <w:shd w:val="clear" w:color="auto" w:fill="auto"/>
          </w:tcPr>
          <w:p w14:paraId="6A9062F3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b/>
                <w:sz w:val="16"/>
                <w:szCs w:val="18"/>
                <w:lang w:bidi="x-none"/>
              </w:rPr>
              <w:t>3. A produção cultural</w:t>
            </w:r>
          </w:p>
          <w:p w14:paraId="4030E383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i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b/>
                <w:i/>
                <w:sz w:val="16"/>
                <w:szCs w:val="18"/>
                <w:lang w:bidi="x-none"/>
              </w:rPr>
              <w:t>3.1. Distinção social e mecenato</w:t>
            </w:r>
          </w:p>
          <w:p w14:paraId="2E94ED43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A ostentação das elites cortesãs e burguesas. O estatuto de prestígio dos intelectuais e artistas.</w:t>
            </w:r>
          </w:p>
          <w:p w14:paraId="225EE08F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Portugal: o ambiente cultural da corte régia.</w:t>
            </w:r>
          </w:p>
          <w:p w14:paraId="2CD990C9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i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b/>
                <w:i/>
                <w:sz w:val="16"/>
                <w:szCs w:val="18"/>
                <w:lang w:bidi="x-none"/>
              </w:rPr>
              <w:t>3.2. Os caminhos abertos pelos humanistas</w:t>
            </w:r>
          </w:p>
          <w:p w14:paraId="319449C2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Valorização da antiguidade clássica e consciência da modernidade; a afirmação das línguas nacionais.</w:t>
            </w:r>
          </w:p>
          <w:p w14:paraId="20DE700B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Individualismo, espírito crítico, racionalidade e utopia.</w:t>
            </w:r>
          </w:p>
          <w:p w14:paraId="107D244D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i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b/>
                <w:i/>
                <w:sz w:val="16"/>
                <w:szCs w:val="18"/>
                <w:lang w:bidi="x-none"/>
              </w:rPr>
              <w:t>3.3. A reinvenção das formas artísticas</w:t>
            </w:r>
          </w:p>
          <w:p w14:paraId="2BE64A55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Imitação e superação dos modelos da antiguidade.</w:t>
            </w:r>
          </w:p>
          <w:p w14:paraId="3CBE66BC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A centralidade do observador na arquitectura e na pintura: a perspectiva matemática; a racionalidade no urbanismo. A expressão naturalista na pintura e na escultura.</w:t>
            </w:r>
          </w:p>
          <w:p w14:paraId="6F781B8D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A arte em Portugal: o gótico-manuelino e a afirmação das novas tendências renascentistas.</w:t>
            </w:r>
          </w:p>
          <w:p w14:paraId="6DC5E795" w14:textId="77777777" w:rsidR="00BF2A64" w:rsidRPr="00BF2A64" w:rsidRDefault="00BF2A64" w:rsidP="00BF2A64">
            <w:pPr>
              <w:jc w:val="both"/>
              <w:rPr>
                <w:b/>
                <w:sz w:val="16"/>
                <w:szCs w:val="18"/>
                <w:lang w:bidi="x-none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5C52269A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16"/>
                <w:lang w:bidi="x-none"/>
              </w:rPr>
            </w:pPr>
            <w:r w:rsidRPr="00BF2A64">
              <w:rPr>
                <w:rFonts w:ascii="Trebuchet MS" w:hAnsi="Trebuchet MS"/>
                <w:color w:val="000000"/>
                <w:sz w:val="16"/>
                <w:szCs w:val="20"/>
                <w:lang w:bidi="x-none"/>
              </w:rPr>
              <w:t>60 pontos</w:t>
            </w:r>
          </w:p>
        </w:tc>
      </w:tr>
      <w:tr w:rsidR="00BF2A64" w:rsidRPr="00BF2A64" w14:paraId="4EFA4246" w14:textId="77777777" w:rsidTr="00BF2A64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4DD36790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sz w:val="16"/>
                <w:lang w:bidi="x-none"/>
              </w:rPr>
            </w:pPr>
            <w:r w:rsidRPr="00BF2A64">
              <w:rPr>
                <w:rFonts w:ascii="Trebuchet MS" w:hAnsi="Trebuchet MS"/>
                <w:b/>
                <w:sz w:val="16"/>
                <w:lang w:bidi="x-none"/>
              </w:rPr>
              <w:t>III</w:t>
            </w:r>
          </w:p>
        </w:tc>
        <w:tc>
          <w:tcPr>
            <w:tcW w:w="6804" w:type="dxa"/>
            <w:shd w:val="clear" w:color="auto" w:fill="auto"/>
          </w:tcPr>
          <w:p w14:paraId="4238E73D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b/>
                <w:sz w:val="16"/>
                <w:szCs w:val="18"/>
                <w:lang w:bidi="x-none"/>
              </w:rPr>
              <w:t>4. A renovação da espiritualidade e religiosidade</w:t>
            </w:r>
          </w:p>
          <w:p w14:paraId="1C0BE687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i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b/>
                <w:i/>
                <w:sz w:val="16"/>
                <w:szCs w:val="18"/>
                <w:lang w:bidi="x-none"/>
              </w:rPr>
              <w:t>4.1. A Reforma Protestante</w:t>
            </w:r>
          </w:p>
          <w:p w14:paraId="0F979AF1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20"/>
                <w:lang w:bidi="x-none"/>
              </w:rPr>
              <w:t xml:space="preserve">- </w:t>
            </w: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Individualismo religioso e críticas à Igreja Católica. A ruptura teológica.</w:t>
            </w:r>
          </w:p>
          <w:p w14:paraId="461FD77B" w14:textId="77777777" w:rsidR="00BF2A64" w:rsidRPr="00BF2A64" w:rsidRDefault="00BF2A64" w:rsidP="00BF2A64">
            <w:pPr>
              <w:jc w:val="both"/>
              <w:rPr>
                <w:rFonts w:ascii="Trebuchet MS" w:hAnsi="Trebuchet MS"/>
                <w:sz w:val="16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20"/>
                <w:lang w:bidi="x-none"/>
              </w:rPr>
              <w:t xml:space="preserve">- </w:t>
            </w: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As igrejas reformadas</w:t>
            </w:r>
            <w:r w:rsidRPr="00BF2A64">
              <w:rPr>
                <w:rFonts w:ascii="Trebuchet MS" w:hAnsi="Trebuchet MS"/>
                <w:sz w:val="16"/>
                <w:lang w:bidi="x-none"/>
              </w:rPr>
              <w:t>.</w:t>
            </w:r>
          </w:p>
          <w:p w14:paraId="4E9A71E9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i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b/>
                <w:i/>
                <w:sz w:val="16"/>
                <w:szCs w:val="18"/>
                <w:lang w:bidi="x-none"/>
              </w:rPr>
              <w:t>4.2. Contra Reforma e Reforma Católica</w:t>
            </w:r>
          </w:p>
          <w:p w14:paraId="1610C486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Reafirmação do dogma e do culto tradicional.</w:t>
            </w:r>
          </w:p>
          <w:p w14:paraId="1C500A18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A reforma disciplinar; o combate ideológico.</w:t>
            </w:r>
          </w:p>
          <w:p w14:paraId="45A00426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O impacto da reforma católica na sociedade portuguesa.</w:t>
            </w:r>
          </w:p>
          <w:p w14:paraId="26CBFFF2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</w:p>
          <w:p w14:paraId="7B26AE18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b/>
                <w:sz w:val="16"/>
                <w:szCs w:val="18"/>
                <w:lang w:bidi="x-none"/>
              </w:rPr>
              <w:t>5. As novas representações da humanidade</w:t>
            </w:r>
          </w:p>
          <w:p w14:paraId="15F1BDFD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  <w:lang w:bidi="x-none"/>
              </w:rPr>
            </w:pPr>
            <w:r w:rsidRPr="00BF2A64">
              <w:rPr>
                <w:rFonts w:ascii="Trebuchet MS" w:hAnsi="Trebuchet MS"/>
                <w:sz w:val="16"/>
                <w:szCs w:val="18"/>
                <w:lang w:bidi="x-none"/>
              </w:rPr>
              <w:t>- O encontro de culturas e as dificuldades de aceitação do princípio da unidade do género humano: evangelização e escravização; os antecedentes da defesa dos direitos humanos.</w:t>
            </w:r>
          </w:p>
          <w:p w14:paraId="761262B5" w14:textId="77777777" w:rsidR="00BF2A64" w:rsidRPr="00BF2A64" w:rsidRDefault="00BF2A64" w:rsidP="00BF2A64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  <w:lang w:bidi="x-none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3A61A4C1" w14:textId="77777777" w:rsidR="00BF2A64" w:rsidRPr="00BF2A64" w:rsidRDefault="00BF2A64" w:rsidP="00BF2A64">
            <w:pPr>
              <w:jc w:val="center"/>
              <w:rPr>
                <w:color w:val="000000"/>
                <w:sz w:val="16"/>
                <w:lang w:bidi="x-none"/>
              </w:rPr>
            </w:pPr>
            <w:r w:rsidRPr="00BF2A64">
              <w:rPr>
                <w:rFonts w:ascii="Trebuchet MS" w:hAnsi="Trebuchet MS"/>
                <w:sz w:val="16"/>
                <w:lang w:bidi="x-none"/>
              </w:rPr>
              <w:t>80 pontos</w:t>
            </w:r>
          </w:p>
        </w:tc>
      </w:tr>
    </w:tbl>
    <w:p w14:paraId="71CD602D" w14:textId="77777777" w:rsidR="00BF2A64" w:rsidRPr="009A07C4" w:rsidRDefault="00BF2A64" w:rsidP="00BF2A64">
      <w:pPr>
        <w:jc w:val="both"/>
        <w:rPr>
          <w:rFonts w:ascii="Trebuchet MS" w:hAnsi="Trebuchet MS"/>
          <w:b/>
          <w:sz w:val="20"/>
        </w:rPr>
      </w:pPr>
    </w:p>
    <w:p w14:paraId="6EEF9C00" w14:textId="77777777" w:rsidR="00BF2A64" w:rsidRPr="009A07C4" w:rsidRDefault="00BF2A64" w:rsidP="00BF2A64">
      <w:pPr>
        <w:jc w:val="both"/>
        <w:rPr>
          <w:rFonts w:ascii="Trebuchet MS" w:hAnsi="Trebuchet MS"/>
          <w:b/>
          <w:sz w:val="20"/>
        </w:rPr>
      </w:pPr>
    </w:p>
    <w:p w14:paraId="79409D5D" w14:textId="77777777" w:rsidR="00BF2A64" w:rsidRPr="009A07C4" w:rsidRDefault="00BF2A64" w:rsidP="00BF2A64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 A prova é cotada para 200 pontos.</w:t>
      </w:r>
    </w:p>
    <w:p w14:paraId="7D171F4B" w14:textId="77777777" w:rsidR="00BF2A64" w:rsidRPr="009A07C4" w:rsidRDefault="00BF2A64" w:rsidP="00BF2A64">
      <w:pPr>
        <w:jc w:val="both"/>
        <w:rPr>
          <w:rFonts w:ascii="Trebuchet MS" w:hAnsi="Trebuchet MS"/>
          <w:sz w:val="20"/>
        </w:rPr>
      </w:pPr>
    </w:p>
    <w:p w14:paraId="7B187A3A" w14:textId="77777777" w:rsidR="00BF2A64" w:rsidRPr="009A07C4" w:rsidRDefault="00BF2A64" w:rsidP="00BF2A64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 xml:space="preserve">2.3. Itens: tipologia, número e cotação </w:t>
      </w:r>
    </w:p>
    <w:p w14:paraId="7515F82E" w14:textId="77777777" w:rsidR="00BF2A64" w:rsidRPr="009A07C4" w:rsidRDefault="00BF2A64" w:rsidP="00BF2A64">
      <w:pPr>
        <w:jc w:val="both"/>
        <w:rPr>
          <w:rFonts w:ascii="Trebuchet MS" w:hAnsi="Trebuchet MS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2268"/>
        <w:gridCol w:w="1705"/>
        <w:gridCol w:w="1276"/>
      </w:tblGrid>
      <w:tr w:rsidR="007F229A" w:rsidRPr="001A4E56" w14:paraId="20083D80" w14:textId="77777777" w:rsidTr="007F229A">
        <w:trPr>
          <w:jc w:val="center"/>
        </w:trPr>
        <w:tc>
          <w:tcPr>
            <w:tcW w:w="4536" w:type="dxa"/>
            <w:gridSpan w:val="2"/>
            <w:shd w:val="clear" w:color="auto" w:fill="auto"/>
            <w:vAlign w:val="center"/>
          </w:tcPr>
          <w:p w14:paraId="66DEF951" w14:textId="77777777" w:rsidR="007F229A" w:rsidRPr="007F229A" w:rsidRDefault="007F229A" w:rsidP="007F229A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7F229A">
              <w:rPr>
                <w:rFonts w:ascii="Trebuchet MS" w:hAnsi="Trebuchet MS"/>
                <w:b/>
                <w:i/>
                <w:sz w:val="16"/>
              </w:rPr>
              <w:t>Tipologia de itens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30F74F7" w14:textId="77777777" w:rsidR="007F229A" w:rsidRPr="007F229A" w:rsidRDefault="007F229A" w:rsidP="007F229A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7F229A">
              <w:rPr>
                <w:rFonts w:ascii="Trebuchet MS" w:hAnsi="Trebuchet MS"/>
                <w:b/>
                <w:i/>
                <w:sz w:val="16"/>
              </w:rPr>
              <w:t>Número de itens</w:t>
            </w:r>
          </w:p>
          <w:p w14:paraId="5306E7B8" w14:textId="77777777" w:rsidR="007F229A" w:rsidRPr="007F229A" w:rsidRDefault="007F229A" w:rsidP="007F229A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F45C54" w14:textId="77777777" w:rsidR="007F229A" w:rsidRPr="007F229A" w:rsidRDefault="007F229A" w:rsidP="007F229A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7F229A">
              <w:rPr>
                <w:rFonts w:ascii="Trebuchet MS" w:hAnsi="Trebuchet MS"/>
                <w:b/>
                <w:i/>
                <w:sz w:val="16"/>
              </w:rPr>
              <w:t xml:space="preserve">Cotação </w:t>
            </w:r>
          </w:p>
          <w:p w14:paraId="1B86DE3B" w14:textId="77777777" w:rsidR="007F229A" w:rsidRPr="007F229A" w:rsidRDefault="007F229A" w:rsidP="007F229A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7F229A">
              <w:rPr>
                <w:rFonts w:ascii="Trebuchet MS" w:hAnsi="Trebuchet MS"/>
                <w:b/>
                <w:i/>
                <w:sz w:val="16"/>
              </w:rPr>
              <w:t>(em pontos)</w:t>
            </w:r>
          </w:p>
        </w:tc>
      </w:tr>
      <w:tr w:rsidR="007F229A" w:rsidRPr="001A4E56" w14:paraId="619F8AC1" w14:textId="77777777" w:rsidTr="007F229A">
        <w:trPr>
          <w:trHeight w:val="284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772C1696" w14:textId="77777777" w:rsidR="007F229A" w:rsidRPr="00C92707" w:rsidRDefault="007F229A" w:rsidP="007F229A">
            <w:pPr>
              <w:jc w:val="center"/>
            </w:pPr>
            <w:r w:rsidRPr="007F229A">
              <w:rPr>
                <w:rFonts w:ascii="Trebuchet MS" w:hAnsi="Trebuchet MS"/>
                <w:sz w:val="16"/>
              </w:rPr>
              <w:t>Itens de construção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6B7672" w14:textId="77777777" w:rsidR="007F229A" w:rsidRPr="007F229A" w:rsidRDefault="007F229A" w:rsidP="007F229A">
            <w:pPr>
              <w:jc w:val="both"/>
              <w:rPr>
                <w:rFonts w:ascii="Trebuchet MS" w:hAnsi="Trebuchet MS"/>
                <w:sz w:val="16"/>
              </w:rPr>
            </w:pPr>
            <w:r w:rsidRPr="007F229A">
              <w:rPr>
                <w:rFonts w:ascii="Trebuchet MS" w:hAnsi="Trebuchet MS"/>
                <w:sz w:val="16"/>
              </w:rPr>
              <w:t>Resposta restrita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2ABDA4A" w14:textId="77777777" w:rsidR="007F229A" w:rsidRPr="007F229A" w:rsidRDefault="007F229A" w:rsidP="007F229A">
            <w:pPr>
              <w:jc w:val="center"/>
              <w:rPr>
                <w:rFonts w:ascii="Trebuchet MS" w:hAnsi="Trebuchet MS"/>
                <w:sz w:val="16"/>
              </w:rPr>
            </w:pPr>
            <w:r w:rsidRPr="007F229A">
              <w:rPr>
                <w:rFonts w:ascii="Trebuchet MS" w:hAnsi="Trebuchet MS"/>
                <w:sz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E231DB" w14:textId="77777777" w:rsidR="007F229A" w:rsidRPr="007F229A" w:rsidRDefault="007F229A" w:rsidP="007F229A">
            <w:pPr>
              <w:jc w:val="center"/>
              <w:rPr>
                <w:rFonts w:ascii="Trebuchet MS" w:hAnsi="Trebuchet MS"/>
                <w:sz w:val="16"/>
              </w:rPr>
            </w:pPr>
            <w:r w:rsidRPr="007F229A">
              <w:rPr>
                <w:rFonts w:ascii="Trebuchet MS" w:hAnsi="Trebuchet MS"/>
                <w:sz w:val="16"/>
              </w:rPr>
              <w:t>30</w:t>
            </w:r>
          </w:p>
        </w:tc>
      </w:tr>
      <w:tr w:rsidR="007F229A" w:rsidRPr="001A4E56" w14:paraId="5F9B5B83" w14:textId="77777777" w:rsidTr="007F229A">
        <w:trPr>
          <w:trHeight w:val="284"/>
          <w:jc w:val="center"/>
        </w:trPr>
        <w:tc>
          <w:tcPr>
            <w:tcW w:w="2268" w:type="dxa"/>
            <w:vMerge/>
            <w:shd w:val="clear" w:color="auto" w:fill="auto"/>
            <w:vAlign w:val="center"/>
          </w:tcPr>
          <w:p w14:paraId="409AF30B" w14:textId="77777777" w:rsidR="007F229A" w:rsidRPr="007F229A" w:rsidRDefault="007F229A" w:rsidP="007F229A">
            <w:pPr>
              <w:jc w:val="both"/>
              <w:rPr>
                <w:rFonts w:ascii="Trebuchet MS" w:hAnsi="Trebuchet MS"/>
                <w:sz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6ABA2D" w14:textId="77777777" w:rsidR="007F229A" w:rsidRPr="007F229A" w:rsidRDefault="007F229A" w:rsidP="007F229A">
            <w:pPr>
              <w:jc w:val="both"/>
              <w:rPr>
                <w:rFonts w:ascii="Trebuchet MS" w:hAnsi="Trebuchet MS"/>
                <w:sz w:val="16"/>
              </w:rPr>
            </w:pPr>
            <w:r w:rsidRPr="007F229A">
              <w:rPr>
                <w:rFonts w:ascii="Trebuchet MS" w:hAnsi="Trebuchet MS"/>
                <w:sz w:val="16"/>
              </w:rPr>
              <w:t>Resposta extensa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0750746" w14:textId="77777777" w:rsidR="007F229A" w:rsidRPr="007F229A" w:rsidRDefault="007F229A" w:rsidP="007F229A">
            <w:pPr>
              <w:jc w:val="center"/>
              <w:rPr>
                <w:rFonts w:ascii="Trebuchet MS" w:hAnsi="Trebuchet MS"/>
                <w:sz w:val="16"/>
              </w:rPr>
            </w:pPr>
            <w:r w:rsidRPr="007F229A">
              <w:rPr>
                <w:rFonts w:ascii="Trebuchet MS" w:hAnsi="Trebuchet MS"/>
                <w:sz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A4C161" w14:textId="77777777" w:rsidR="007F229A" w:rsidRPr="007F229A" w:rsidRDefault="007F229A" w:rsidP="007F229A">
            <w:pPr>
              <w:jc w:val="center"/>
              <w:rPr>
                <w:rFonts w:ascii="Trebuchet MS" w:hAnsi="Trebuchet MS"/>
                <w:sz w:val="16"/>
              </w:rPr>
            </w:pPr>
            <w:r w:rsidRPr="007F229A">
              <w:rPr>
                <w:rFonts w:ascii="Trebuchet MS" w:hAnsi="Trebuchet MS"/>
                <w:sz w:val="16"/>
              </w:rPr>
              <w:t>50</w:t>
            </w:r>
          </w:p>
        </w:tc>
      </w:tr>
    </w:tbl>
    <w:p w14:paraId="72E6420B" w14:textId="77777777" w:rsidR="00BF2A64" w:rsidRPr="009A07C4" w:rsidRDefault="00BF2A64" w:rsidP="00BF2A64">
      <w:pPr>
        <w:jc w:val="both"/>
        <w:rPr>
          <w:rFonts w:ascii="Trebuchet MS" w:hAnsi="Trebuchet MS"/>
          <w:sz w:val="20"/>
        </w:rPr>
      </w:pPr>
      <w:bookmarkStart w:id="0" w:name="_GoBack"/>
      <w:bookmarkEnd w:id="0"/>
    </w:p>
    <w:p w14:paraId="5CAA05D1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2.3.1. Os itens da prova exigem a análise dos documentos apresentados.</w:t>
      </w:r>
    </w:p>
    <w:p w14:paraId="01AE0ADB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</w:p>
    <w:p w14:paraId="0CE32491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2.3.2. Os documentos que constituem suporte de análise para a resposta aos itens podem apresentar perspectivas diferentes e possibilitam o estabelecimento de inter-relações, em ordem ao esclarecimento de uma problemática decorrente de uma ou mais unidades do módulo.</w:t>
      </w:r>
    </w:p>
    <w:p w14:paraId="00FE7A37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</w:p>
    <w:p w14:paraId="3DA3488B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2.3.3. Nos itens que apresentam a instrução «</w:t>
      </w:r>
      <w:r w:rsidRPr="009A07C4">
        <w:rPr>
          <w:rFonts w:ascii="Trebuchet MS" w:hAnsi="Trebuchet MS"/>
          <w:i/>
          <w:sz w:val="20"/>
        </w:rPr>
        <w:t>com base em</w:t>
      </w:r>
      <w:r w:rsidRPr="009A07C4">
        <w:rPr>
          <w:rFonts w:ascii="Trebuchet MS" w:hAnsi="Trebuchet MS"/>
          <w:sz w:val="20"/>
        </w:rPr>
        <w:t xml:space="preserve">», a construção das respostas deve mobilizar os elementos/dados presentes, explícita ou implicitamente, no(s) documento(s). </w:t>
      </w:r>
    </w:p>
    <w:p w14:paraId="3C22CC66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</w:p>
    <w:p w14:paraId="1E08438B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2.3.4. Nos itens que apresentam a instrução «</w:t>
      </w:r>
      <w:r w:rsidRPr="009A07C4">
        <w:rPr>
          <w:rFonts w:ascii="Trebuchet MS" w:hAnsi="Trebuchet MS"/>
          <w:i/>
          <w:sz w:val="20"/>
        </w:rPr>
        <w:t>a partir de</w:t>
      </w:r>
      <w:r w:rsidRPr="009A07C4">
        <w:rPr>
          <w:rFonts w:ascii="Trebuchet MS" w:hAnsi="Trebuchet MS"/>
          <w:sz w:val="20"/>
        </w:rPr>
        <w:t>» é igualmente obrigatória a mobilização de dados contidos no(s) documento(s), embora a resposta não se limite a esses elementos.</w:t>
      </w:r>
    </w:p>
    <w:p w14:paraId="3E13E0D8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</w:p>
    <w:p w14:paraId="1BA5A4E6" w14:textId="77777777" w:rsidR="00EF4E76" w:rsidRPr="009A07C4" w:rsidRDefault="00EF4E76" w:rsidP="00EF4E76">
      <w:pPr>
        <w:jc w:val="both"/>
        <w:rPr>
          <w:rFonts w:ascii="Trebuchet MS" w:hAnsi="Trebuchet MS"/>
          <w:b/>
          <w:sz w:val="20"/>
        </w:rPr>
      </w:pPr>
    </w:p>
    <w:p w14:paraId="3CB3CAA5" w14:textId="77777777" w:rsidR="00EF4E76" w:rsidRPr="009A07C4" w:rsidRDefault="00EF4E76" w:rsidP="00EF4E76">
      <w:pPr>
        <w:jc w:val="both"/>
        <w:rPr>
          <w:rFonts w:ascii="Trebuchet MS" w:hAnsi="Trebuchet MS"/>
          <w:b/>
          <w:sz w:val="20"/>
        </w:rPr>
      </w:pPr>
      <w:r w:rsidRPr="009A07C4">
        <w:rPr>
          <w:rFonts w:ascii="Trebuchet MS" w:hAnsi="Trebuchet MS"/>
          <w:b/>
          <w:sz w:val="20"/>
        </w:rPr>
        <w:t>3. Critérios gerais de classificação</w:t>
      </w:r>
    </w:p>
    <w:p w14:paraId="5871F388" w14:textId="77777777" w:rsidR="00EF4E76" w:rsidRPr="009A07C4" w:rsidRDefault="00EF4E76" w:rsidP="00EF4E76">
      <w:pPr>
        <w:jc w:val="both"/>
        <w:rPr>
          <w:rFonts w:ascii="Trebuchet MS" w:hAnsi="Trebuchet MS"/>
          <w:b/>
          <w:sz w:val="20"/>
        </w:rPr>
      </w:pPr>
    </w:p>
    <w:p w14:paraId="26988F36" w14:textId="77777777" w:rsidR="00EF4E76" w:rsidRPr="00F962A1" w:rsidRDefault="00EF4E76" w:rsidP="00EF4E76">
      <w:pPr>
        <w:jc w:val="both"/>
        <w:rPr>
          <w:rFonts w:ascii="Trebuchet MS" w:hAnsi="Trebuchet MS"/>
          <w:b/>
          <w:sz w:val="20"/>
        </w:rPr>
      </w:pPr>
      <w:r w:rsidRPr="00F962A1">
        <w:rPr>
          <w:rFonts w:ascii="Trebuchet MS" w:hAnsi="Trebuchet MS"/>
          <w:b/>
          <w:sz w:val="20"/>
        </w:rPr>
        <w:t>3.1. Respostas</w:t>
      </w:r>
    </w:p>
    <w:p w14:paraId="45BAC62F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</w:p>
    <w:p w14:paraId="2951E26D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3.1.1. A classificação a atribuir a cada resposta resulta da aplicação dos critérios gerais e dos critérios específicos de classificação apresentados para cada item.</w:t>
      </w:r>
    </w:p>
    <w:p w14:paraId="456831E9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</w:p>
    <w:p w14:paraId="494F87F8" w14:textId="77777777" w:rsidR="00EF4E76" w:rsidRDefault="00EF4E76" w:rsidP="00EF4E76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3.1.2. As respostas ilegíveis ou que não possam ser claramente identificadas são classificadas com zero pontos.</w:t>
      </w:r>
    </w:p>
    <w:p w14:paraId="0B200426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</w:p>
    <w:p w14:paraId="664BCB1E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</w:p>
    <w:p w14:paraId="04BC2946" w14:textId="77777777" w:rsidR="00EF4E76" w:rsidRPr="00CD4083" w:rsidRDefault="00EF4E76" w:rsidP="00EF4E76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b/>
          <w:sz w:val="20"/>
        </w:rPr>
        <w:t xml:space="preserve">3.2. </w:t>
      </w:r>
      <w:r>
        <w:rPr>
          <w:rFonts w:ascii="Trebuchet MS" w:hAnsi="Trebuchet MS"/>
          <w:b/>
          <w:sz w:val="20"/>
        </w:rPr>
        <w:t>Níveis de desempenho</w:t>
      </w:r>
    </w:p>
    <w:p w14:paraId="41882112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</w:p>
    <w:p w14:paraId="1E6983B0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</w:t>
      </w:r>
      <w:r>
        <w:rPr>
          <w:rFonts w:ascii="Trebuchet MS" w:hAnsi="Trebuchet MS"/>
          <w:sz w:val="20"/>
        </w:rPr>
        <w:t>2.1</w:t>
      </w:r>
      <w:r w:rsidRPr="009A07C4">
        <w:rPr>
          <w:rFonts w:ascii="Trebuchet MS" w:hAnsi="Trebuchet MS"/>
          <w:sz w:val="20"/>
        </w:rPr>
        <w:t>.</w:t>
      </w:r>
      <w:r w:rsidRPr="009A07C4">
        <w:rPr>
          <w:rFonts w:ascii="Trebuchet MS" w:hAnsi="Trebuchet MS"/>
          <w:b/>
          <w:sz w:val="20"/>
        </w:rPr>
        <w:t xml:space="preserve"> </w:t>
      </w:r>
      <w:r>
        <w:rPr>
          <w:rFonts w:ascii="Trebuchet MS" w:hAnsi="Trebuchet MS"/>
          <w:sz w:val="20"/>
        </w:rPr>
        <w:t>O</w:t>
      </w:r>
      <w:r w:rsidRPr="009A07C4">
        <w:rPr>
          <w:rFonts w:ascii="Trebuchet MS" w:hAnsi="Trebuchet MS"/>
          <w:sz w:val="20"/>
        </w:rPr>
        <w:t>s critérios de classificação são organizados por níveis de desempenho. A cada nível de desempenho corresponde uma dada pontuação.</w:t>
      </w:r>
    </w:p>
    <w:p w14:paraId="50EDA9BD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</w:p>
    <w:p w14:paraId="48959758" w14:textId="77777777" w:rsidR="00EF4E76" w:rsidRPr="009A07C4" w:rsidRDefault="00EF4E76" w:rsidP="00EF4E76">
      <w:p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3.2.2</w:t>
      </w:r>
      <w:r w:rsidRPr="009A07C4">
        <w:rPr>
          <w:rFonts w:ascii="Trebuchet MS" w:hAnsi="Trebuchet MS"/>
          <w:sz w:val="20"/>
        </w:rPr>
        <w:t>.</w:t>
      </w:r>
      <w:r w:rsidRPr="009A07C4">
        <w:rPr>
          <w:rFonts w:ascii="Trebuchet MS" w:hAnsi="Trebuchet MS"/>
          <w:b/>
          <w:sz w:val="20"/>
        </w:rPr>
        <w:t xml:space="preserve"> </w:t>
      </w:r>
      <w:r>
        <w:rPr>
          <w:rFonts w:ascii="Trebuchet MS" w:hAnsi="Trebuchet MS"/>
          <w:sz w:val="20"/>
        </w:rPr>
        <w:t>A</w:t>
      </w:r>
      <w:r w:rsidRPr="009A07C4">
        <w:rPr>
          <w:rFonts w:ascii="Trebuchet MS" w:hAnsi="Trebuchet MS"/>
          <w:sz w:val="20"/>
        </w:rPr>
        <w:t xml:space="preserve"> classificação traduz a avaliação do desempenho no domínio específico da disciplina e no domínio da comunicação escrita em língua portuguesa.</w:t>
      </w:r>
    </w:p>
    <w:p w14:paraId="2DDBE316" w14:textId="77777777" w:rsidR="00EF4E76" w:rsidRDefault="00EF4E76" w:rsidP="00EF4E76">
      <w:pPr>
        <w:jc w:val="both"/>
        <w:rPr>
          <w:rFonts w:ascii="Trebuchet MS" w:hAnsi="Trebuchet MS"/>
        </w:rPr>
      </w:pPr>
    </w:p>
    <w:p w14:paraId="67A38DD8" w14:textId="77777777" w:rsidR="00EF4E76" w:rsidRPr="00376590" w:rsidRDefault="00EF4E76" w:rsidP="00EF4E76">
      <w:pPr>
        <w:jc w:val="both"/>
        <w:rPr>
          <w:rFonts w:ascii="Calibri" w:hAnsi="Calibri"/>
        </w:rPr>
      </w:pPr>
    </w:p>
    <w:p w14:paraId="088582EB" w14:textId="77777777" w:rsidR="00EF4E76" w:rsidRPr="00376590" w:rsidRDefault="00EF4E76" w:rsidP="00EF4E76">
      <w:pPr>
        <w:jc w:val="both"/>
        <w:rPr>
          <w:rFonts w:ascii="Calibri" w:hAnsi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7938"/>
      </w:tblGrid>
      <w:tr w:rsidR="00EF4E76" w:rsidRPr="00376590" w14:paraId="14E24CE9" w14:textId="77777777" w:rsidTr="00083E45">
        <w:trPr>
          <w:jc w:val="center"/>
        </w:trPr>
        <w:tc>
          <w:tcPr>
            <w:tcW w:w="1134" w:type="dxa"/>
            <w:shd w:val="clear" w:color="auto" w:fill="auto"/>
          </w:tcPr>
          <w:p w14:paraId="04FC36FC" w14:textId="77777777" w:rsidR="00EF4E76" w:rsidRPr="00376590" w:rsidRDefault="00EF4E76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  <w:r w:rsidRPr="00376590">
              <w:rPr>
                <w:rFonts w:ascii="Calibri" w:hAnsi="Calibri"/>
                <w:b/>
                <w:i/>
                <w:sz w:val="20"/>
                <w:lang w:bidi="x-none"/>
              </w:rPr>
              <w:t>Níveis</w:t>
            </w:r>
          </w:p>
        </w:tc>
        <w:tc>
          <w:tcPr>
            <w:tcW w:w="7938" w:type="dxa"/>
            <w:shd w:val="clear" w:color="auto" w:fill="auto"/>
          </w:tcPr>
          <w:p w14:paraId="5AD60B35" w14:textId="77777777" w:rsidR="00EF4E76" w:rsidRPr="00376590" w:rsidRDefault="00EF4E76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  <w:r w:rsidRPr="00376590">
              <w:rPr>
                <w:rFonts w:ascii="Calibri" w:hAnsi="Calibri"/>
                <w:b/>
                <w:i/>
                <w:sz w:val="20"/>
                <w:lang w:bidi="x-none"/>
              </w:rPr>
              <w:t>Descritores</w:t>
            </w:r>
          </w:p>
          <w:p w14:paraId="6078C9CB" w14:textId="77777777" w:rsidR="00EF4E76" w:rsidRPr="00376590" w:rsidRDefault="00EF4E76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</w:p>
        </w:tc>
      </w:tr>
      <w:tr w:rsidR="00EF4E76" w:rsidRPr="00376590" w14:paraId="344FA199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48AD4A28" w14:textId="77777777" w:rsidR="00EF4E76" w:rsidRPr="00376590" w:rsidRDefault="00EF4E76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14:paraId="3B02AD42" w14:textId="77777777" w:rsidR="00EF4E76" w:rsidRPr="00376590" w:rsidRDefault="00EF4E76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bem estruturada, sem erros de sintaxe, de pontuação e/ou de ortografia, ou com erros esporádicos, cuja gravidade não implique perda de inteligibilidade e/ou de sentido.</w:t>
            </w:r>
          </w:p>
          <w:p w14:paraId="70BD96D0" w14:textId="77777777" w:rsidR="00EF4E76" w:rsidRPr="00376590" w:rsidRDefault="00EF4E76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  <w:tr w:rsidR="00EF4E76" w:rsidRPr="00376590" w14:paraId="114E70A5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6DF7441E" w14:textId="77777777" w:rsidR="00EF4E76" w:rsidRPr="00376590" w:rsidRDefault="00EF4E76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14:paraId="41FD356C" w14:textId="77777777" w:rsidR="00EF4E76" w:rsidRPr="00376590" w:rsidRDefault="00EF4E76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razoavelmente estruturada, com alguns erros de sintaxe, de pontuação e/ou de ortografia, cuja gravidade não implique perda de inteligibilidade e/ou de sentido.</w:t>
            </w:r>
          </w:p>
          <w:p w14:paraId="29F75A42" w14:textId="77777777" w:rsidR="00EF4E76" w:rsidRPr="00376590" w:rsidRDefault="00EF4E76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  <w:tr w:rsidR="00EF4E76" w:rsidRPr="00376590" w14:paraId="13E3F064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944152E" w14:textId="77777777" w:rsidR="00EF4E76" w:rsidRPr="00376590" w:rsidRDefault="00EF4E76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14:paraId="13ED31C6" w14:textId="77777777" w:rsidR="00EF4E76" w:rsidRPr="00376590" w:rsidRDefault="00EF4E76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sem estruturação aparente, com erros graves de sintaxe, de pontuação e/ou de ortografia, cuja gravidade implique perda frequente de inteligibilidade e/ou de sentido.</w:t>
            </w:r>
          </w:p>
          <w:p w14:paraId="0D9B24EA" w14:textId="77777777" w:rsidR="00EF4E76" w:rsidRPr="00376590" w:rsidRDefault="00EF4E76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</w:tbl>
    <w:p w14:paraId="2A89D577" w14:textId="77777777" w:rsidR="00EF4E76" w:rsidRDefault="00EF4E76" w:rsidP="00EF4E76">
      <w:pPr>
        <w:jc w:val="both"/>
        <w:rPr>
          <w:rFonts w:ascii="Calibri" w:hAnsi="Calibri"/>
          <w:sz w:val="20"/>
          <w:szCs w:val="20"/>
        </w:rPr>
      </w:pPr>
    </w:p>
    <w:p w14:paraId="04CF055C" w14:textId="77777777" w:rsidR="00EF4E76" w:rsidRPr="00376590" w:rsidRDefault="00EF4E76" w:rsidP="00EF4E76">
      <w:pPr>
        <w:jc w:val="both"/>
        <w:rPr>
          <w:rFonts w:ascii="Calibri" w:hAnsi="Calibri"/>
          <w:sz w:val="20"/>
          <w:szCs w:val="20"/>
        </w:rPr>
      </w:pPr>
    </w:p>
    <w:p w14:paraId="150D46B5" w14:textId="77777777" w:rsidR="00EF4E76" w:rsidRPr="00376590" w:rsidRDefault="00EF4E76" w:rsidP="00EF4E7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3.2.3. </w:t>
      </w:r>
      <w:r w:rsidRPr="00376590">
        <w:rPr>
          <w:rFonts w:ascii="Trebuchet MS" w:hAnsi="Trebuchet MS"/>
          <w:sz w:val="20"/>
          <w:szCs w:val="20"/>
        </w:rPr>
        <w:t>No caso de a resposta não atingir o nível 1 de desempenho no domínio específico da disciplina, a classificação a atribuir é zero pontos. Neste caso, não é classificado o desempenho no domínio da comunicação escrita em língua portuguesa</w:t>
      </w:r>
    </w:p>
    <w:p w14:paraId="395E4EA4" w14:textId="77777777" w:rsidR="00EF4E76" w:rsidRPr="00376590" w:rsidRDefault="00EF4E76" w:rsidP="00EF4E76">
      <w:pPr>
        <w:jc w:val="both"/>
        <w:rPr>
          <w:rFonts w:ascii="Trebuchet MS" w:hAnsi="Trebuchet MS"/>
          <w:sz w:val="20"/>
          <w:szCs w:val="20"/>
        </w:rPr>
      </w:pPr>
    </w:p>
    <w:p w14:paraId="71FBCEF4" w14:textId="77777777" w:rsidR="00EF4E76" w:rsidRPr="00376590" w:rsidRDefault="00EF4E76" w:rsidP="00EF4E76">
      <w:pPr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4</w:t>
      </w:r>
      <w:r w:rsidRPr="00376590">
        <w:rPr>
          <w:rFonts w:ascii="Trebuchet MS" w:hAnsi="Trebuchet MS"/>
          <w:b/>
          <w:sz w:val="20"/>
          <w:szCs w:val="20"/>
        </w:rPr>
        <w:t>. Material</w:t>
      </w:r>
    </w:p>
    <w:p w14:paraId="643F5DA0" w14:textId="77777777" w:rsidR="00EF4E76" w:rsidRPr="00376590" w:rsidRDefault="00EF4E76" w:rsidP="00EF4E76">
      <w:pPr>
        <w:jc w:val="both"/>
        <w:rPr>
          <w:rFonts w:ascii="Trebuchet MS" w:hAnsi="Trebuchet MS"/>
          <w:sz w:val="20"/>
          <w:szCs w:val="20"/>
        </w:rPr>
      </w:pPr>
    </w:p>
    <w:p w14:paraId="6DF7AE0C" w14:textId="77777777" w:rsidR="00EF4E76" w:rsidRPr="00376590" w:rsidRDefault="00EF4E76" w:rsidP="00EF4E7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4.1. </w:t>
      </w:r>
      <w:r w:rsidRPr="00376590">
        <w:rPr>
          <w:rFonts w:ascii="Trebuchet MS" w:hAnsi="Trebuchet MS"/>
          <w:sz w:val="20"/>
          <w:szCs w:val="20"/>
        </w:rPr>
        <w:t>O aluno apenas pode usar, como material de escrita, caneta ou esferográfica de tinta indelével, azul ou preta.</w:t>
      </w:r>
    </w:p>
    <w:p w14:paraId="51DCE3EA" w14:textId="77777777" w:rsidR="00EF4E76" w:rsidRDefault="00EF4E76" w:rsidP="00EF4E76">
      <w:pPr>
        <w:jc w:val="both"/>
        <w:rPr>
          <w:rFonts w:ascii="Trebuchet MS" w:hAnsi="Trebuchet MS"/>
          <w:sz w:val="20"/>
          <w:szCs w:val="20"/>
        </w:rPr>
      </w:pPr>
    </w:p>
    <w:p w14:paraId="22207508" w14:textId="77777777" w:rsidR="00EF4E76" w:rsidRPr="00376590" w:rsidRDefault="00EF4E76" w:rsidP="00EF4E7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4.2. </w:t>
      </w:r>
      <w:r w:rsidRPr="00376590">
        <w:rPr>
          <w:rFonts w:ascii="Trebuchet MS" w:hAnsi="Trebuchet MS"/>
          <w:sz w:val="20"/>
          <w:szCs w:val="20"/>
        </w:rPr>
        <w:t>As respostas são registadas em folha própria – a folha de respostas disponível na Escola</w:t>
      </w:r>
    </w:p>
    <w:p w14:paraId="52367265" w14:textId="77777777" w:rsidR="00EF4E76" w:rsidRDefault="00EF4E76" w:rsidP="00EF4E76">
      <w:pPr>
        <w:jc w:val="both"/>
        <w:rPr>
          <w:rFonts w:ascii="Trebuchet MS" w:hAnsi="Trebuchet MS"/>
          <w:sz w:val="20"/>
          <w:szCs w:val="20"/>
        </w:rPr>
      </w:pPr>
    </w:p>
    <w:p w14:paraId="0DCF7944" w14:textId="77777777" w:rsidR="00EF4E76" w:rsidRPr="00376590" w:rsidRDefault="00EF4E76" w:rsidP="00EF4E7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4.3. </w:t>
      </w:r>
      <w:r w:rsidRPr="00376590">
        <w:rPr>
          <w:rFonts w:ascii="Trebuchet MS" w:hAnsi="Trebuchet MS"/>
          <w:sz w:val="20"/>
          <w:szCs w:val="20"/>
        </w:rPr>
        <w:t>Não é permitido o uso de corretor.</w:t>
      </w:r>
    </w:p>
    <w:p w14:paraId="6B6BE0BF" w14:textId="77777777" w:rsidR="00EF4E76" w:rsidRPr="00376590" w:rsidRDefault="00EF4E76" w:rsidP="00EF4E76">
      <w:pPr>
        <w:jc w:val="both"/>
        <w:rPr>
          <w:rFonts w:ascii="Trebuchet MS" w:hAnsi="Trebuchet MS"/>
          <w:sz w:val="20"/>
          <w:szCs w:val="20"/>
        </w:rPr>
      </w:pPr>
    </w:p>
    <w:p w14:paraId="2499DE53" w14:textId="77777777" w:rsidR="00EF4E76" w:rsidRPr="009A07C4" w:rsidRDefault="00EF4E76" w:rsidP="00EF4E76">
      <w:pPr>
        <w:jc w:val="both"/>
        <w:rPr>
          <w:rFonts w:ascii="Trebuchet MS" w:hAnsi="Trebuchet MS"/>
        </w:rPr>
      </w:pPr>
    </w:p>
    <w:p w14:paraId="670A68DA" w14:textId="77777777" w:rsidR="00BF2A64" w:rsidRPr="009A07C4" w:rsidRDefault="00BF2A64" w:rsidP="00EF4E76">
      <w:pPr>
        <w:jc w:val="both"/>
        <w:rPr>
          <w:rFonts w:ascii="Trebuchet MS" w:hAnsi="Trebuchet MS"/>
        </w:rPr>
      </w:pPr>
    </w:p>
    <w:sectPr w:rsidR="00BF2A64" w:rsidRPr="009A07C4" w:rsidSect="00BF2A64">
      <w:pgSz w:w="11900" w:h="16840"/>
      <w:pgMar w:top="567" w:right="851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97E38"/>
    <w:multiLevelType w:val="multilevel"/>
    <w:tmpl w:val="7C22BA18"/>
    <w:lvl w:ilvl="0">
      <w:start w:val="1"/>
      <w:numFmt w:val="bullet"/>
      <w:lvlText w:val="•"/>
      <w:lvlJc w:val="left"/>
      <w:pPr>
        <w:tabs>
          <w:tab w:val="num" w:pos="567"/>
        </w:tabs>
        <w:ind w:left="567" w:hanging="17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95725A"/>
    <w:multiLevelType w:val="hybridMultilevel"/>
    <w:tmpl w:val="7C22BA18"/>
    <w:lvl w:ilvl="0" w:tplc="801A4FB6">
      <w:start w:val="1"/>
      <w:numFmt w:val="bullet"/>
      <w:lvlText w:val="•"/>
      <w:lvlJc w:val="left"/>
      <w:pPr>
        <w:tabs>
          <w:tab w:val="num" w:pos="567"/>
        </w:tabs>
        <w:ind w:left="567" w:hanging="170"/>
      </w:pPr>
      <w:rPr>
        <w:rFonts w:ascii="Times New Roman" w:hAnsi="Times New Roman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D4"/>
    <w:rsid w:val="004D36E6"/>
    <w:rsid w:val="0057647A"/>
    <w:rsid w:val="006B0C60"/>
    <w:rsid w:val="00733C39"/>
    <w:rsid w:val="007F229A"/>
    <w:rsid w:val="008520D4"/>
    <w:rsid w:val="00B80B98"/>
    <w:rsid w:val="00BF2A64"/>
    <w:rsid w:val="00EF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08BA11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rsid w:val="007E399F"/>
    <w:pPr>
      <w:keepNext/>
      <w:framePr w:hSpace="141" w:wrap="around" w:hAnchor="margin" w:y="-903"/>
      <w:jc w:val="both"/>
      <w:outlineLvl w:val="4"/>
    </w:pPr>
    <w:rPr>
      <w:b/>
      <w:sz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15B7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7F229A"/>
    <w:rPr>
      <w:rFonts w:ascii="Courier" w:hAnsi="Courier"/>
      <w:sz w:val="21"/>
      <w:szCs w:val="21"/>
      <w:lang w:eastAsia="pt-PT"/>
    </w:rPr>
  </w:style>
  <w:style w:type="character" w:customStyle="1" w:styleId="PlainTextChar">
    <w:name w:val="Plain Text Char"/>
    <w:link w:val="PlainText"/>
    <w:uiPriority w:val="99"/>
    <w:rsid w:val="007F229A"/>
    <w:rPr>
      <w:rFonts w:ascii="Courier" w:hAnsi="Courier"/>
      <w:sz w:val="21"/>
      <w:szCs w:val="21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C3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C3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4D36E6"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4D36E6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rsid w:val="007E399F"/>
    <w:pPr>
      <w:keepNext/>
      <w:framePr w:hSpace="141" w:wrap="around" w:hAnchor="margin" w:y="-903"/>
      <w:jc w:val="both"/>
      <w:outlineLvl w:val="4"/>
    </w:pPr>
    <w:rPr>
      <w:b/>
      <w:sz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15B7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7F229A"/>
    <w:rPr>
      <w:rFonts w:ascii="Courier" w:hAnsi="Courier"/>
      <w:sz w:val="21"/>
      <w:szCs w:val="21"/>
      <w:lang w:eastAsia="pt-PT"/>
    </w:rPr>
  </w:style>
  <w:style w:type="character" w:customStyle="1" w:styleId="PlainTextChar">
    <w:name w:val="Plain Text Char"/>
    <w:link w:val="PlainText"/>
    <w:uiPriority w:val="99"/>
    <w:rsid w:val="007F229A"/>
    <w:rPr>
      <w:rFonts w:ascii="Courier" w:hAnsi="Courier"/>
      <w:sz w:val="21"/>
      <w:szCs w:val="21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C3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C3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4D36E6"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4D36E6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760</Words>
  <Characters>4337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Objeto de avaliação</vt:lpstr>
    </vt:vector>
  </TitlesOfParts>
  <Company>Fabula Urbis, Lda</Company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Objeto de avaliação</dc:title>
  <dc:subject/>
  <dc:creator>João Pimentel</dc:creator>
  <cp:keywords/>
  <cp:lastModifiedBy>Fabula Urbis</cp:lastModifiedBy>
  <cp:revision>7</cp:revision>
  <dcterms:created xsi:type="dcterms:W3CDTF">2015-10-04T15:57:00Z</dcterms:created>
  <dcterms:modified xsi:type="dcterms:W3CDTF">2015-10-04T17:15:00Z</dcterms:modified>
</cp:coreProperties>
</file>