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6"/>
        <w:gridCol w:w="823"/>
        <w:gridCol w:w="1644"/>
        <w:gridCol w:w="1645"/>
        <w:gridCol w:w="822"/>
        <w:gridCol w:w="2467"/>
      </w:tblGrid>
      <w:tr w:rsidR="00AC06FA" w14:paraId="145A788F" w14:textId="77777777" w:rsidTr="00083E45">
        <w:trPr>
          <w:jc w:val="center"/>
        </w:trPr>
        <w:tc>
          <w:tcPr>
            <w:tcW w:w="4933" w:type="dxa"/>
            <w:gridSpan w:val="3"/>
            <w:vAlign w:val="center"/>
          </w:tcPr>
          <w:p w14:paraId="59148317" w14:textId="77777777" w:rsidR="00AC06FA" w:rsidRDefault="00AC06FA" w:rsidP="00083E45">
            <w:pPr>
              <w:jc w:val="center"/>
            </w:pPr>
            <w:r>
              <w:rPr>
                <w:rFonts w:ascii="Trebuchet MS" w:hAnsi="Trebuchet MS"/>
                <w:noProof/>
                <w:sz w:val="20"/>
                <w:szCs w:val="20"/>
                <w:lang w:val="en-US"/>
              </w:rPr>
              <w:drawing>
                <wp:inline distT="0" distB="0" distL="0" distR="0" wp14:anchorId="5CBE540A" wp14:editId="0CAAFE25">
                  <wp:extent cx="2155190" cy="460284"/>
                  <wp:effectExtent l="0" t="0" r="381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401" cy="46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4" w:type="dxa"/>
            <w:gridSpan w:val="3"/>
            <w:vAlign w:val="center"/>
          </w:tcPr>
          <w:p w14:paraId="02F5E239" w14:textId="77777777" w:rsidR="00AC06FA" w:rsidRPr="00FA4175" w:rsidRDefault="00AC06FA" w:rsidP="00083E45">
            <w:pPr>
              <w:jc w:val="center"/>
              <w:rPr>
                <w:rFonts w:ascii="Trebuchet MS" w:hAnsi="Trebuchet MS"/>
                <w:b/>
                <w:color w:val="000000"/>
                <w:sz w:val="14"/>
                <w:szCs w:val="14"/>
              </w:rPr>
            </w:pPr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>DIREÇÃO GERAL DOS ESTABELECIMENTOS ESCOLARES</w:t>
            </w:r>
          </w:p>
          <w:p w14:paraId="2DF46885" w14:textId="77777777" w:rsidR="00AC06FA" w:rsidRDefault="00AC06FA" w:rsidP="00083E45">
            <w:pPr>
              <w:jc w:val="center"/>
            </w:pPr>
            <w:proofErr w:type="spellStart"/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>Direção</w:t>
            </w:r>
            <w:proofErr w:type="spellEnd"/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 xml:space="preserve"> de Serviços Região de Lisboa e Vale do Tejo</w:t>
            </w:r>
          </w:p>
        </w:tc>
      </w:tr>
      <w:tr w:rsidR="00AC06FA" w:rsidRPr="00AC06FA" w14:paraId="6C6D0D90" w14:textId="77777777" w:rsidTr="00083E45">
        <w:trPr>
          <w:jc w:val="center"/>
        </w:trPr>
        <w:tc>
          <w:tcPr>
            <w:tcW w:w="3289" w:type="dxa"/>
            <w:gridSpan w:val="2"/>
            <w:vAlign w:val="center"/>
          </w:tcPr>
          <w:p w14:paraId="6DCFBFF1" w14:textId="77777777" w:rsidR="00AC06FA" w:rsidRPr="00AC06FA" w:rsidRDefault="00AC06FA" w:rsidP="00083E45">
            <w:pPr>
              <w:jc w:val="center"/>
              <w:rPr>
                <w:rFonts w:ascii="Calibri" w:hAnsi="Calibri"/>
              </w:rPr>
            </w:pPr>
            <w:r w:rsidRPr="00AC06FA">
              <w:rPr>
                <w:rFonts w:ascii="Calibri" w:hAnsi="Calibri"/>
                <w:noProof/>
                <w:lang w:val="en-US"/>
              </w:rPr>
              <w:drawing>
                <wp:inline distT="0" distB="0" distL="0" distR="0" wp14:anchorId="16E4843F" wp14:editId="57B21E35">
                  <wp:extent cx="1717040" cy="502058"/>
                  <wp:effectExtent l="0" t="0" r="10160" b="635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40" cy="502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gridSpan w:val="2"/>
            <w:vAlign w:val="center"/>
          </w:tcPr>
          <w:p w14:paraId="56037104" w14:textId="77777777" w:rsidR="00AC06FA" w:rsidRPr="00AC06FA" w:rsidRDefault="00AC06FA" w:rsidP="00083E45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</w:pPr>
            <w:r w:rsidRPr="00AC06FA"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  <w:t>ESCOLA SECUNDÁRIA D. PEDRO V</w:t>
            </w:r>
          </w:p>
          <w:p w14:paraId="5D139904" w14:textId="77777777" w:rsidR="00AC06FA" w:rsidRPr="00AC06FA" w:rsidRDefault="00AC06FA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</w:p>
          <w:p w14:paraId="53E2243D" w14:textId="77777777" w:rsidR="00AC06FA" w:rsidRPr="00AC06FA" w:rsidRDefault="00AC06FA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  <w:r w:rsidRPr="00AC06FA"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  <w:t>Ensino Recorrente por Módulos Capitalizáveis</w:t>
            </w:r>
          </w:p>
        </w:tc>
        <w:tc>
          <w:tcPr>
            <w:tcW w:w="3289" w:type="dxa"/>
            <w:gridSpan w:val="2"/>
            <w:vAlign w:val="center"/>
          </w:tcPr>
          <w:p w14:paraId="259526AE" w14:textId="77777777" w:rsidR="00AC06FA" w:rsidRPr="00AC06FA" w:rsidRDefault="00AC06FA" w:rsidP="00083E45">
            <w:pPr>
              <w:pStyle w:val="Header"/>
              <w:jc w:val="center"/>
              <w:rPr>
                <w:b/>
                <w:sz w:val="18"/>
                <w:szCs w:val="18"/>
              </w:rPr>
            </w:pPr>
            <w:r w:rsidRPr="00AC06FA">
              <w:rPr>
                <w:b/>
                <w:sz w:val="18"/>
                <w:szCs w:val="18"/>
              </w:rPr>
              <w:t>Avaliação em regime Não Presencial</w:t>
            </w:r>
          </w:p>
          <w:p w14:paraId="65F9B7FA" w14:textId="77777777" w:rsidR="00AC06FA" w:rsidRPr="00AC06FA" w:rsidRDefault="00AC06FA" w:rsidP="00083E45">
            <w:pPr>
              <w:pStyle w:val="Header"/>
              <w:jc w:val="center"/>
              <w:rPr>
                <w:rFonts w:cs="Arial"/>
                <w:b/>
                <w:smallCaps/>
                <w:sz w:val="16"/>
                <w:szCs w:val="16"/>
              </w:rPr>
            </w:pPr>
          </w:p>
          <w:p w14:paraId="3813D8B3" w14:textId="77777777" w:rsidR="00AC06FA" w:rsidRPr="00AC06FA" w:rsidRDefault="00AC06FA" w:rsidP="00083E45">
            <w:pPr>
              <w:jc w:val="center"/>
              <w:rPr>
                <w:rFonts w:ascii="Calibri" w:hAnsi="Calibri"/>
              </w:rPr>
            </w:pPr>
            <w:r w:rsidRPr="00AC06FA">
              <w:rPr>
                <w:rFonts w:ascii="Calibri" w:hAnsi="Calibri" w:cs="Arial"/>
                <w:b/>
                <w:sz w:val="16"/>
                <w:szCs w:val="16"/>
              </w:rPr>
              <w:t xml:space="preserve">Matriz de Prova </w:t>
            </w:r>
          </w:p>
        </w:tc>
      </w:tr>
      <w:tr w:rsidR="00AC06FA" w:rsidRPr="00AC06FA" w14:paraId="6174E692" w14:textId="77777777" w:rsidTr="00083E45">
        <w:trPr>
          <w:trHeight w:val="284"/>
          <w:jc w:val="center"/>
        </w:trPr>
        <w:tc>
          <w:tcPr>
            <w:tcW w:w="2466" w:type="dxa"/>
            <w:vAlign w:val="center"/>
          </w:tcPr>
          <w:p w14:paraId="2EAE328B" w14:textId="77777777" w:rsidR="00AC06FA" w:rsidRPr="00AC06FA" w:rsidRDefault="00AC06FA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C06FA">
              <w:rPr>
                <w:rFonts w:ascii="Calibri" w:hAnsi="Calibri"/>
                <w:b/>
                <w:sz w:val="16"/>
                <w:szCs w:val="16"/>
              </w:rPr>
              <w:t>Curso Línguas e Humanidades</w:t>
            </w:r>
          </w:p>
        </w:tc>
        <w:tc>
          <w:tcPr>
            <w:tcW w:w="2467" w:type="dxa"/>
            <w:gridSpan w:val="2"/>
            <w:vAlign w:val="center"/>
          </w:tcPr>
          <w:p w14:paraId="6BD5C141" w14:textId="77777777" w:rsidR="00AC06FA" w:rsidRPr="00AC06FA" w:rsidRDefault="00AC06FA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C06FA">
              <w:rPr>
                <w:rFonts w:ascii="Calibri" w:hAnsi="Calibri"/>
                <w:b/>
                <w:sz w:val="16"/>
                <w:szCs w:val="16"/>
              </w:rPr>
              <w:t>Disciplina: História A</w:t>
            </w:r>
          </w:p>
        </w:tc>
        <w:tc>
          <w:tcPr>
            <w:tcW w:w="2467" w:type="dxa"/>
            <w:gridSpan w:val="2"/>
            <w:vAlign w:val="center"/>
          </w:tcPr>
          <w:p w14:paraId="0263D4C0" w14:textId="673DAF5E" w:rsidR="00AC06FA" w:rsidRPr="00AC06FA" w:rsidRDefault="00AC06FA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AC06FA">
              <w:rPr>
                <w:rFonts w:ascii="Calibri" w:hAnsi="Calibri"/>
                <w:b/>
                <w:sz w:val="16"/>
                <w:szCs w:val="16"/>
              </w:rPr>
              <w:t>Módulo 8</w:t>
            </w:r>
          </w:p>
        </w:tc>
        <w:tc>
          <w:tcPr>
            <w:tcW w:w="2467" w:type="dxa"/>
            <w:vAlign w:val="center"/>
          </w:tcPr>
          <w:p w14:paraId="4AE58039" w14:textId="447D9A5D" w:rsidR="00AC06FA" w:rsidRPr="00AC06FA" w:rsidRDefault="00AC06FA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AC06FA">
              <w:rPr>
                <w:rFonts w:ascii="Calibri" w:hAnsi="Calibri"/>
                <w:b/>
                <w:sz w:val="16"/>
                <w:szCs w:val="16"/>
              </w:rPr>
              <w:t>Duração da Prova: 90 m</w:t>
            </w:r>
          </w:p>
        </w:tc>
      </w:tr>
    </w:tbl>
    <w:p w14:paraId="4CD198B4" w14:textId="77777777" w:rsidR="00682113" w:rsidRPr="009A07C4" w:rsidRDefault="00682113" w:rsidP="00A44FCA">
      <w:pPr>
        <w:jc w:val="center"/>
        <w:rPr>
          <w:rFonts w:ascii="Trebuchet MS" w:hAnsi="Trebuchet MS"/>
          <w:sz w:val="20"/>
        </w:rPr>
      </w:pPr>
    </w:p>
    <w:p w14:paraId="1FDC1965" w14:textId="77777777" w:rsidR="00682113" w:rsidRPr="00FE4DFE" w:rsidRDefault="00682113" w:rsidP="00A44FCA">
      <w:pPr>
        <w:jc w:val="center"/>
        <w:rPr>
          <w:rFonts w:ascii="Trebuchet MS" w:hAnsi="Trebuchet MS"/>
          <w:b/>
          <w:sz w:val="20"/>
        </w:rPr>
      </w:pPr>
    </w:p>
    <w:p w14:paraId="59C6EFA9" w14:textId="77777777" w:rsidR="00682113" w:rsidRPr="00FE4DFE" w:rsidRDefault="00682113" w:rsidP="00A44FCA">
      <w:pPr>
        <w:jc w:val="center"/>
        <w:rPr>
          <w:rFonts w:ascii="Trebuchet MS" w:hAnsi="Trebuchet MS"/>
          <w:b/>
          <w:sz w:val="20"/>
        </w:rPr>
      </w:pPr>
    </w:p>
    <w:p w14:paraId="3FE51A89" w14:textId="77777777" w:rsidR="00682113" w:rsidRPr="001C01EA" w:rsidRDefault="00682113" w:rsidP="00A44FCA">
      <w:pPr>
        <w:widowControl w:val="0"/>
        <w:autoSpaceDE w:val="0"/>
        <w:autoSpaceDN w:val="0"/>
        <w:adjustRightInd w:val="0"/>
        <w:jc w:val="both"/>
        <w:rPr>
          <w:rFonts w:ascii="Trebuchet MS" w:hAnsi="Trebuchet MS"/>
          <w:b/>
          <w:sz w:val="20"/>
          <w:szCs w:val="18"/>
        </w:rPr>
      </w:pPr>
      <w:r w:rsidRPr="001C01EA">
        <w:rPr>
          <w:rFonts w:ascii="Trebuchet MS" w:hAnsi="Trebuchet MS"/>
          <w:b/>
          <w:sz w:val="20"/>
          <w:szCs w:val="18"/>
        </w:rPr>
        <w:t>Módulo 8: Portugal e o Mundo: da Segunda Guerra Mundial ao Início da década de 80 – Opções internas e contexto internacional</w:t>
      </w:r>
    </w:p>
    <w:p w14:paraId="5337C213" w14:textId="77777777" w:rsidR="00682113" w:rsidRPr="009A07C4" w:rsidRDefault="00682113" w:rsidP="00A44FCA">
      <w:pPr>
        <w:jc w:val="both"/>
        <w:rPr>
          <w:rFonts w:ascii="Trebuchet MS" w:hAnsi="Trebuchet MS"/>
          <w:sz w:val="20"/>
        </w:rPr>
      </w:pPr>
    </w:p>
    <w:p w14:paraId="1D1D379C" w14:textId="77777777" w:rsidR="00682113" w:rsidRPr="009A07C4" w:rsidRDefault="00682113" w:rsidP="00A44FCA">
      <w:pPr>
        <w:jc w:val="both"/>
        <w:rPr>
          <w:rFonts w:ascii="Trebuchet MS" w:hAnsi="Trebuchet MS"/>
          <w:sz w:val="20"/>
        </w:rPr>
      </w:pPr>
    </w:p>
    <w:p w14:paraId="04EB13F2" w14:textId="77777777" w:rsidR="00682113" w:rsidRPr="009A07C4" w:rsidRDefault="00682113" w:rsidP="00A44FCA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b/>
          <w:sz w:val="20"/>
        </w:rPr>
        <w:t>1. Objecto de avaliação</w:t>
      </w:r>
      <w:r w:rsidRPr="009A07C4">
        <w:rPr>
          <w:rFonts w:ascii="Trebuchet MS" w:hAnsi="Trebuchet MS"/>
          <w:sz w:val="20"/>
        </w:rPr>
        <w:t xml:space="preserve">: conteúdos do módulo 8 do Programa de História A. </w:t>
      </w:r>
    </w:p>
    <w:p w14:paraId="4968EE33" w14:textId="77777777" w:rsidR="00682113" w:rsidRDefault="00682113" w:rsidP="005E7CC2">
      <w:pPr>
        <w:jc w:val="both"/>
        <w:rPr>
          <w:rFonts w:ascii="Trebuchet MS" w:hAnsi="Trebuchet MS"/>
          <w:b/>
          <w:sz w:val="20"/>
        </w:rPr>
      </w:pPr>
    </w:p>
    <w:p w14:paraId="5986F8B6" w14:textId="77777777" w:rsidR="00181532" w:rsidRPr="009A07C4" w:rsidRDefault="00181532" w:rsidP="005E7CC2">
      <w:pPr>
        <w:jc w:val="both"/>
        <w:rPr>
          <w:rFonts w:ascii="Trebuchet MS" w:hAnsi="Trebuchet MS"/>
          <w:b/>
          <w:sz w:val="20"/>
        </w:rPr>
      </w:pPr>
    </w:p>
    <w:p w14:paraId="2A004452" w14:textId="77777777" w:rsidR="00682113" w:rsidRPr="009A07C4" w:rsidRDefault="00682113" w:rsidP="005E7CC2">
      <w:pPr>
        <w:jc w:val="both"/>
        <w:rPr>
          <w:rFonts w:ascii="Trebuchet MS" w:hAnsi="Trebuchet MS"/>
          <w:b/>
          <w:sz w:val="20"/>
        </w:rPr>
      </w:pPr>
      <w:r w:rsidRPr="009A07C4">
        <w:rPr>
          <w:rFonts w:ascii="Trebuchet MS" w:hAnsi="Trebuchet MS"/>
          <w:b/>
          <w:sz w:val="20"/>
        </w:rPr>
        <w:t>2. Caracterização da prova</w:t>
      </w:r>
    </w:p>
    <w:p w14:paraId="6749CE56" w14:textId="77777777" w:rsidR="00682113" w:rsidRPr="009A07C4" w:rsidRDefault="00682113" w:rsidP="005E7CC2">
      <w:pPr>
        <w:jc w:val="both"/>
        <w:rPr>
          <w:rFonts w:ascii="Trebuchet MS" w:hAnsi="Trebuchet MS"/>
          <w:sz w:val="20"/>
        </w:rPr>
      </w:pPr>
    </w:p>
    <w:p w14:paraId="157D9D33" w14:textId="77777777" w:rsidR="00682113" w:rsidRPr="002C7A63" w:rsidRDefault="00682113" w:rsidP="005E7CC2">
      <w:pPr>
        <w:jc w:val="both"/>
        <w:rPr>
          <w:rFonts w:ascii="Trebuchet MS" w:hAnsi="Trebuchet MS"/>
          <w:sz w:val="20"/>
        </w:rPr>
      </w:pPr>
      <w:r w:rsidRPr="002C7A63">
        <w:rPr>
          <w:rFonts w:ascii="Trebuchet MS" w:hAnsi="Trebuchet MS"/>
          <w:sz w:val="20"/>
        </w:rPr>
        <w:t>2.1. Duração: A prova tem a duração de 90 minutos.</w:t>
      </w:r>
    </w:p>
    <w:p w14:paraId="0F046CD8" w14:textId="77777777" w:rsidR="00682113" w:rsidRPr="009A07C4" w:rsidRDefault="00682113" w:rsidP="005E7CC2">
      <w:pPr>
        <w:jc w:val="both"/>
        <w:rPr>
          <w:rFonts w:ascii="Trebuchet MS" w:hAnsi="Trebuchet MS"/>
          <w:b/>
          <w:sz w:val="20"/>
        </w:rPr>
      </w:pPr>
    </w:p>
    <w:p w14:paraId="37D0609A" w14:textId="77777777" w:rsidR="00682113" w:rsidRDefault="00682113" w:rsidP="005E7CC2">
      <w:pPr>
        <w:jc w:val="both"/>
        <w:rPr>
          <w:rFonts w:ascii="Trebuchet MS" w:hAnsi="Trebuchet MS"/>
          <w:sz w:val="20"/>
        </w:rPr>
      </w:pPr>
      <w:r w:rsidRPr="002C7A63">
        <w:rPr>
          <w:rFonts w:ascii="Trebuchet MS" w:hAnsi="Trebuchet MS"/>
          <w:sz w:val="20"/>
        </w:rPr>
        <w:t>2.2. Conteúdos</w:t>
      </w:r>
    </w:p>
    <w:p w14:paraId="5016CE62" w14:textId="77777777" w:rsidR="00181532" w:rsidRPr="002C7A63" w:rsidRDefault="00181532" w:rsidP="005E7CC2">
      <w:pPr>
        <w:jc w:val="both"/>
        <w:rPr>
          <w:rFonts w:ascii="Trebuchet MS" w:hAnsi="Trebuchet MS"/>
          <w:sz w:val="20"/>
        </w:rPr>
      </w:pPr>
    </w:p>
    <w:p w14:paraId="15F868A9" w14:textId="77777777" w:rsidR="00682113" w:rsidRPr="009A07C4" w:rsidRDefault="00682113" w:rsidP="00A44FCA">
      <w:pPr>
        <w:jc w:val="both"/>
        <w:rPr>
          <w:rFonts w:ascii="Trebuchet MS" w:hAnsi="Trebuchet MS"/>
          <w:b/>
          <w:sz w:val="20"/>
        </w:rPr>
      </w:pP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134"/>
        <w:gridCol w:w="6804"/>
        <w:gridCol w:w="1312"/>
      </w:tblGrid>
      <w:tr w:rsidR="00682113" w:rsidRPr="00F962A1" w14:paraId="7353721B" w14:textId="77777777">
        <w:trPr>
          <w:jc w:val="center"/>
        </w:trPr>
        <w:tc>
          <w:tcPr>
            <w:tcW w:w="1134" w:type="dxa"/>
            <w:vAlign w:val="center"/>
          </w:tcPr>
          <w:p w14:paraId="75D3D3D0" w14:textId="77777777" w:rsidR="00682113" w:rsidRPr="00F962A1" w:rsidRDefault="00682113" w:rsidP="00A44FC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Grupos</w:t>
            </w:r>
          </w:p>
        </w:tc>
        <w:tc>
          <w:tcPr>
            <w:tcW w:w="6804" w:type="dxa"/>
            <w:vAlign w:val="center"/>
          </w:tcPr>
          <w:p w14:paraId="5A71CA26" w14:textId="77777777" w:rsidR="00682113" w:rsidRPr="00F962A1" w:rsidRDefault="00682113" w:rsidP="00A44FC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Conteúdos</w:t>
            </w:r>
          </w:p>
        </w:tc>
        <w:tc>
          <w:tcPr>
            <w:tcW w:w="1312" w:type="dxa"/>
            <w:vAlign w:val="center"/>
          </w:tcPr>
          <w:p w14:paraId="5A64E9BF" w14:textId="77777777" w:rsidR="00682113" w:rsidRPr="00F962A1" w:rsidRDefault="00682113" w:rsidP="00A44FC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Cotação</w:t>
            </w:r>
          </w:p>
          <w:p w14:paraId="6C682B56" w14:textId="77777777" w:rsidR="00682113" w:rsidRPr="00F962A1" w:rsidRDefault="00682113" w:rsidP="00A44FC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(em pontos)</w:t>
            </w:r>
          </w:p>
        </w:tc>
      </w:tr>
      <w:tr w:rsidR="00682113" w:rsidRPr="00F962A1" w14:paraId="15FDF613" w14:textId="77777777">
        <w:trPr>
          <w:jc w:val="center"/>
        </w:trPr>
        <w:tc>
          <w:tcPr>
            <w:tcW w:w="1134" w:type="dxa"/>
            <w:vAlign w:val="center"/>
          </w:tcPr>
          <w:p w14:paraId="634D7D5A" w14:textId="77777777" w:rsidR="00682113" w:rsidRPr="00F962A1" w:rsidRDefault="00682113" w:rsidP="00A44FCA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t>I</w:t>
            </w:r>
          </w:p>
        </w:tc>
        <w:tc>
          <w:tcPr>
            <w:tcW w:w="6804" w:type="dxa"/>
          </w:tcPr>
          <w:p w14:paraId="2ECED62A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1. Nascimento e afirmação de um novo quadro geopolítico</w:t>
            </w:r>
          </w:p>
          <w:p w14:paraId="4FFAD562" w14:textId="77777777" w:rsidR="00682113" w:rsidRPr="001C01EA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1.1. A reconstrução do pós-guerra</w:t>
            </w:r>
          </w:p>
          <w:p w14:paraId="64D8FF6B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definição de áreas de influência; a Organização das Nações Unidas; as novas regras da economia internacional.</w:t>
            </w:r>
          </w:p>
          <w:p w14:paraId="73CB9E82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A primeira vaga de descolonizações.</w:t>
            </w:r>
          </w:p>
          <w:p w14:paraId="658CDDFB" w14:textId="77777777" w:rsidR="00682113" w:rsidRPr="001C01EA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1.2. O tempo da Guerra Fria - a consolidação de um mundo Bipolar</w:t>
            </w:r>
          </w:p>
          <w:p w14:paraId="682CD0A8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20"/>
              </w:rPr>
              <w:t xml:space="preserve">- </w:t>
            </w:r>
            <w:r w:rsidRPr="00B42A0F">
              <w:rPr>
                <w:rFonts w:ascii="Trebuchet MS" w:hAnsi="Trebuchet MS"/>
                <w:sz w:val="16"/>
                <w:szCs w:val="18"/>
              </w:rPr>
              <w:t>O mundo capitalista: a política de alianças liderada pelos EUA; a prosperidade económica e a sociedade de consumo; a afirmação do Estado-providência.</w:t>
            </w:r>
          </w:p>
          <w:p w14:paraId="1A4D9B25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mundo comunista: o expansionismo soviético; opções e realizações da economia de direcção central.</w:t>
            </w:r>
          </w:p>
          <w:p w14:paraId="2E459350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escalada armamentista e o início da era espacial.</w:t>
            </w:r>
          </w:p>
          <w:p w14:paraId="3E3138BB" w14:textId="77777777" w:rsidR="00682113" w:rsidRPr="001C01EA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1.3. A afirmação de novas potências</w:t>
            </w:r>
          </w:p>
          <w:p w14:paraId="015A4184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rápido crescimento do Japão; o afastamento da China do bloco soviético; a ascensão da Europa.</w:t>
            </w:r>
          </w:p>
          <w:p w14:paraId="7E9027C9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 xml:space="preserve">- A política de </w:t>
            </w:r>
            <w:r w:rsidRPr="00B42A0F">
              <w:rPr>
                <w:rFonts w:ascii="Trebuchet MS" w:hAnsi="Trebuchet MS"/>
                <w:i/>
                <w:sz w:val="16"/>
                <w:szCs w:val="18"/>
              </w:rPr>
              <w:t>não-alinhamento</w:t>
            </w:r>
            <w:r w:rsidRPr="00B42A0F">
              <w:rPr>
                <w:rFonts w:ascii="Trebuchet MS" w:hAnsi="Trebuchet MS"/>
                <w:sz w:val="16"/>
                <w:szCs w:val="18"/>
              </w:rPr>
              <w:t>; a segunda vaga de descolonizações.</w:t>
            </w:r>
          </w:p>
          <w:p w14:paraId="7B534B1E" w14:textId="77777777" w:rsidR="00682113" w:rsidRPr="001C01EA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1.4. O termo da prosperidade económica: origens e efeitos.</w:t>
            </w:r>
          </w:p>
          <w:p w14:paraId="4575C871" w14:textId="77777777" w:rsidR="00682113" w:rsidRPr="00B42A0F" w:rsidRDefault="00682113" w:rsidP="00A44FCA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1312" w:type="dxa"/>
            <w:vAlign w:val="center"/>
          </w:tcPr>
          <w:p w14:paraId="52976B58" w14:textId="77777777" w:rsidR="00682113" w:rsidRPr="00F962A1" w:rsidRDefault="00682113" w:rsidP="00A44FC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16"/>
              </w:rPr>
            </w:pPr>
            <w:r w:rsidRPr="00F962A1">
              <w:rPr>
                <w:rFonts w:ascii="Trebuchet MS" w:hAnsi="Trebuchet MS"/>
                <w:color w:val="000000"/>
                <w:sz w:val="16"/>
                <w:szCs w:val="20"/>
              </w:rPr>
              <w:t>60 pontos</w:t>
            </w:r>
          </w:p>
        </w:tc>
      </w:tr>
      <w:tr w:rsidR="00682113" w:rsidRPr="00F962A1" w14:paraId="26A2F620" w14:textId="77777777">
        <w:trPr>
          <w:jc w:val="center"/>
        </w:trPr>
        <w:tc>
          <w:tcPr>
            <w:tcW w:w="1134" w:type="dxa"/>
            <w:vAlign w:val="center"/>
          </w:tcPr>
          <w:p w14:paraId="4AD5E7FB" w14:textId="77777777" w:rsidR="00682113" w:rsidRPr="00F962A1" w:rsidRDefault="00682113" w:rsidP="00A44FCA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t>II</w:t>
            </w:r>
          </w:p>
        </w:tc>
        <w:tc>
          <w:tcPr>
            <w:tcW w:w="6804" w:type="dxa"/>
          </w:tcPr>
          <w:p w14:paraId="0B31610D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2. Portugal do autoritarismo à democracia</w:t>
            </w:r>
          </w:p>
          <w:p w14:paraId="0064F389" w14:textId="77777777" w:rsidR="00682113" w:rsidRPr="001C01EA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2.1. Imobilismo político e crescimento económico do pós-guerra a 1974</w:t>
            </w:r>
          </w:p>
          <w:p w14:paraId="3BDF9102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Estagnação do mundo rural; emigração. Surto industrial e urbano; fomento económico nas colónias.</w:t>
            </w:r>
          </w:p>
          <w:p w14:paraId="0ACAC316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radicalização das oposições e o sobressalto político de 1958; a questão colonial - soluções preconizadas,</w:t>
            </w:r>
          </w:p>
          <w:p w14:paraId="1FAADE30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luta armada, isolamento internacional.</w:t>
            </w:r>
          </w:p>
          <w:p w14:paraId="791A9DF1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“primavera marcelista”: reformismo político não sustentado; o impacto da guerra colonial.</w:t>
            </w:r>
          </w:p>
          <w:p w14:paraId="0D2A23D6" w14:textId="77777777" w:rsidR="00682113" w:rsidRPr="001C01EA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2.2. Da Revolução à estabilização da democracia</w:t>
            </w:r>
          </w:p>
          <w:p w14:paraId="24AD70D5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Movimento das Forças Armadas e a eclosão da Revolução.</w:t>
            </w:r>
          </w:p>
          <w:p w14:paraId="2CCE55AD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Desmantelamento das estruturas de suporte do Estado Novo; tensões político-ideológicas na sociedade e no interior do movimento revolucionário; política económica anti-monopolista e intervenção do Estado nos domínios económico e financeiro. A opção constitucional de 1976.</w:t>
            </w:r>
          </w:p>
          <w:p w14:paraId="02B98D77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reconhecimento dos movimentos nacionalistas e o processo de descolonização.</w:t>
            </w:r>
          </w:p>
          <w:p w14:paraId="2374C9E0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revisão constitucional de 1982 e o funcionamento das instituições democráticas.</w:t>
            </w:r>
          </w:p>
          <w:p w14:paraId="52716055" w14:textId="77777777" w:rsidR="00682113" w:rsidRPr="001C01EA" w:rsidRDefault="00682113" w:rsidP="00A44FCA">
            <w:pPr>
              <w:jc w:val="both"/>
              <w:rPr>
                <w:rFonts w:ascii="Trebuchet MS"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2.3. O significado internacional da revolução portuguesa.</w:t>
            </w:r>
          </w:p>
          <w:p w14:paraId="62897212" w14:textId="77777777" w:rsidR="00682113" w:rsidRPr="00B42A0F" w:rsidRDefault="00682113" w:rsidP="00A44FCA">
            <w:pPr>
              <w:jc w:val="both"/>
              <w:rPr>
                <w:b/>
                <w:sz w:val="16"/>
                <w:szCs w:val="18"/>
              </w:rPr>
            </w:pPr>
          </w:p>
        </w:tc>
        <w:tc>
          <w:tcPr>
            <w:tcW w:w="1312" w:type="dxa"/>
            <w:vAlign w:val="center"/>
          </w:tcPr>
          <w:p w14:paraId="4DEA0A89" w14:textId="77777777" w:rsidR="00682113" w:rsidRPr="00F962A1" w:rsidRDefault="00682113" w:rsidP="00A44FC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16"/>
              </w:rPr>
            </w:pPr>
            <w:r w:rsidRPr="00F962A1">
              <w:rPr>
                <w:rFonts w:ascii="Trebuchet MS" w:hAnsi="Trebuchet MS"/>
                <w:color w:val="000000"/>
                <w:sz w:val="16"/>
                <w:szCs w:val="20"/>
              </w:rPr>
              <w:t>80 pontos</w:t>
            </w:r>
          </w:p>
        </w:tc>
      </w:tr>
      <w:tr w:rsidR="00682113" w:rsidRPr="00F962A1" w14:paraId="566CC6C9" w14:textId="77777777">
        <w:trPr>
          <w:jc w:val="center"/>
        </w:trPr>
        <w:tc>
          <w:tcPr>
            <w:tcW w:w="1134" w:type="dxa"/>
            <w:vAlign w:val="center"/>
          </w:tcPr>
          <w:p w14:paraId="54C8E09F" w14:textId="77777777" w:rsidR="00682113" w:rsidRPr="00F962A1" w:rsidRDefault="00682113" w:rsidP="00A44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t>III</w:t>
            </w:r>
          </w:p>
        </w:tc>
        <w:tc>
          <w:tcPr>
            <w:tcW w:w="6804" w:type="dxa"/>
          </w:tcPr>
          <w:p w14:paraId="395E1A0A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3. As transformações sociais e culturais do terceiro quartel do século XX</w:t>
            </w:r>
          </w:p>
          <w:p w14:paraId="6A19C926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importância dos pólos culturais anglo-americanos. A reflexão sobre a condição humana nas artes e nas letras. O progresso científico e a inovação tecnológica.</w:t>
            </w:r>
          </w:p>
          <w:p w14:paraId="7A4696A2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 xml:space="preserve">- A evolução dos </w:t>
            </w:r>
            <w:r w:rsidRPr="00B42A0F">
              <w:rPr>
                <w:rFonts w:ascii="Trebuchet MS" w:hAnsi="Trebuchet MS"/>
                <w:i/>
                <w:sz w:val="16"/>
                <w:szCs w:val="18"/>
              </w:rPr>
              <w:t>media</w:t>
            </w:r>
            <w:r w:rsidRPr="00B42A0F">
              <w:rPr>
                <w:rFonts w:ascii="Trebuchet MS" w:hAnsi="Trebuchet MS"/>
                <w:sz w:val="16"/>
                <w:szCs w:val="18"/>
              </w:rPr>
              <w:t>: os novos centros de produção cinematográfica; o impacto da TV e da música no quotidiano; a hegemonia de hábitos socioculturais norte-americanos.</w:t>
            </w:r>
          </w:p>
          <w:p w14:paraId="010DD145" w14:textId="77777777" w:rsidR="00682113" w:rsidRPr="00B42A0F" w:rsidRDefault="00682113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Alterações na estrutura social e nos comportamentos: a terciarização da sociedade; os anos 60 e a gestação de uma nova mentalidade - procura de novos referentes ideológicos, contestação juvenil, afirmação dos direitos da mulher.</w:t>
            </w:r>
          </w:p>
        </w:tc>
        <w:tc>
          <w:tcPr>
            <w:tcW w:w="1312" w:type="dxa"/>
            <w:vAlign w:val="center"/>
          </w:tcPr>
          <w:p w14:paraId="0A2206D5" w14:textId="77777777" w:rsidR="00682113" w:rsidRPr="00F962A1" w:rsidRDefault="00682113" w:rsidP="00A44FCA">
            <w:pPr>
              <w:jc w:val="center"/>
              <w:rPr>
                <w:color w:val="000000"/>
                <w:sz w:val="16"/>
              </w:rPr>
            </w:pPr>
            <w:r w:rsidRPr="00F962A1">
              <w:rPr>
                <w:rFonts w:ascii="Trebuchet MS" w:hAnsi="Trebuchet MS"/>
                <w:sz w:val="16"/>
              </w:rPr>
              <w:t>60 pontos</w:t>
            </w:r>
          </w:p>
        </w:tc>
      </w:tr>
    </w:tbl>
    <w:p w14:paraId="2612F536" w14:textId="77777777" w:rsidR="00181532" w:rsidRDefault="00181532" w:rsidP="005E7CC2">
      <w:pPr>
        <w:jc w:val="both"/>
        <w:rPr>
          <w:rFonts w:ascii="Trebuchet MS" w:hAnsi="Trebuchet MS"/>
          <w:sz w:val="20"/>
        </w:rPr>
      </w:pPr>
    </w:p>
    <w:p w14:paraId="4055CEDE" w14:textId="77777777" w:rsidR="00181532" w:rsidRDefault="00181532" w:rsidP="005E7CC2">
      <w:pPr>
        <w:jc w:val="both"/>
        <w:rPr>
          <w:rFonts w:ascii="Trebuchet MS" w:hAnsi="Trebuchet MS"/>
          <w:sz w:val="20"/>
        </w:rPr>
      </w:pPr>
    </w:p>
    <w:p w14:paraId="36EDE19B" w14:textId="77777777" w:rsidR="00682113" w:rsidRPr="009A07C4" w:rsidRDefault="00682113" w:rsidP="005E7CC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 A prova é cotada para 200 pontos.</w:t>
      </w:r>
    </w:p>
    <w:p w14:paraId="5EF4D1AC" w14:textId="77777777" w:rsidR="00682113" w:rsidRDefault="00682113" w:rsidP="005E7CC2">
      <w:pPr>
        <w:jc w:val="both"/>
        <w:rPr>
          <w:rFonts w:ascii="Trebuchet MS" w:hAnsi="Trebuchet MS"/>
          <w:sz w:val="20"/>
        </w:rPr>
      </w:pPr>
    </w:p>
    <w:p w14:paraId="711C8F92" w14:textId="77777777" w:rsidR="00181532" w:rsidRPr="009A07C4" w:rsidRDefault="00181532" w:rsidP="005E7CC2">
      <w:pPr>
        <w:jc w:val="both"/>
        <w:rPr>
          <w:rFonts w:ascii="Trebuchet MS" w:hAnsi="Trebuchet MS"/>
          <w:sz w:val="20"/>
        </w:rPr>
      </w:pPr>
    </w:p>
    <w:p w14:paraId="6FBCB6F1" w14:textId="77777777" w:rsidR="00682113" w:rsidRPr="009A07C4" w:rsidRDefault="00682113" w:rsidP="005E7CC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 xml:space="preserve">2.3. Itens: tipologia, número e cotação </w:t>
      </w:r>
    </w:p>
    <w:p w14:paraId="35C332C3" w14:textId="77777777" w:rsidR="00682113" w:rsidRDefault="00682113" w:rsidP="005E7CC2">
      <w:pPr>
        <w:jc w:val="both"/>
        <w:rPr>
          <w:rFonts w:ascii="Trebuchet MS" w:hAnsi="Trebuchet MS"/>
          <w:sz w:val="20"/>
        </w:rPr>
      </w:pP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2268"/>
        <w:gridCol w:w="2268"/>
        <w:gridCol w:w="1705"/>
        <w:gridCol w:w="1276"/>
      </w:tblGrid>
      <w:tr w:rsidR="00181532" w:rsidRPr="001A4E56" w14:paraId="7A61DE76" w14:textId="77777777" w:rsidTr="00083E45">
        <w:trPr>
          <w:jc w:val="center"/>
        </w:trPr>
        <w:tc>
          <w:tcPr>
            <w:tcW w:w="4536" w:type="dxa"/>
            <w:gridSpan w:val="2"/>
            <w:vAlign w:val="center"/>
          </w:tcPr>
          <w:p w14:paraId="1C7F3C62" w14:textId="77777777" w:rsidR="00181532" w:rsidRPr="001A4E56" w:rsidRDefault="00181532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Tipologia de itens</w:t>
            </w:r>
          </w:p>
        </w:tc>
        <w:tc>
          <w:tcPr>
            <w:tcW w:w="1705" w:type="dxa"/>
            <w:vAlign w:val="center"/>
          </w:tcPr>
          <w:p w14:paraId="583C3166" w14:textId="77777777" w:rsidR="00181532" w:rsidRPr="001A4E56" w:rsidRDefault="00181532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Número de itens</w:t>
            </w:r>
          </w:p>
          <w:p w14:paraId="183FFFEE" w14:textId="77777777" w:rsidR="00181532" w:rsidRPr="001A4E56" w:rsidRDefault="00181532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6A4A1A2F" w14:textId="77777777" w:rsidR="00181532" w:rsidRPr="001A4E56" w:rsidRDefault="00181532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 xml:space="preserve">Cotação </w:t>
            </w:r>
          </w:p>
          <w:p w14:paraId="37DB7D47" w14:textId="77777777" w:rsidR="00181532" w:rsidRPr="001A4E56" w:rsidRDefault="00181532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(em pontos)</w:t>
            </w:r>
          </w:p>
        </w:tc>
      </w:tr>
      <w:tr w:rsidR="00181532" w:rsidRPr="001A4E56" w14:paraId="233B4475" w14:textId="77777777" w:rsidTr="00083E45">
        <w:trPr>
          <w:trHeight w:val="284"/>
          <w:jc w:val="center"/>
        </w:trPr>
        <w:tc>
          <w:tcPr>
            <w:tcW w:w="2268" w:type="dxa"/>
            <w:vMerge w:val="restart"/>
            <w:vAlign w:val="center"/>
          </w:tcPr>
          <w:p w14:paraId="17A0549F" w14:textId="77777777" w:rsidR="00181532" w:rsidRPr="00C92707" w:rsidRDefault="00181532" w:rsidP="00083E45">
            <w:pPr>
              <w:jc w:val="center"/>
            </w:pPr>
            <w:r w:rsidRPr="001A4E56">
              <w:rPr>
                <w:rFonts w:ascii="Trebuchet MS" w:hAnsi="Trebuchet MS"/>
                <w:sz w:val="16"/>
              </w:rPr>
              <w:t>Itens de construção</w:t>
            </w:r>
          </w:p>
        </w:tc>
        <w:tc>
          <w:tcPr>
            <w:tcW w:w="2268" w:type="dxa"/>
            <w:vAlign w:val="center"/>
          </w:tcPr>
          <w:p w14:paraId="7CDB260F" w14:textId="77777777" w:rsidR="00181532" w:rsidRPr="001A4E56" w:rsidRDefault="00181532" w:rsidP="00083E45">
            <w:pPr>
              <w:jc w:val="both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Resposta restrita</w:t>
            </w:r>
          </w:p>
        </w:tc>
        <w:tc>
          <w:tcPr>
            <w:tcW w:w="1705" w:type="dxa"/>
            <w:vAlign w:val="center"/>
          </w:tcPr>
          <w:p w14:paraId="7E500688" w14:textId="77777777" w:rsidR="00181532" w:rsidRPr="001A4E56" w:rsidRDefault="00181532" w:rsidP="00083E45">
            <w:pPr>
              <w:jc w:val="center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5F177DA0" w14:textId="77777777" w:rsidR="00181532" w:rsidRPr="001A4E56" w:rsidRDefault="00181532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30</w:t>
            </w:r>
          </w:p>
        </w:tc>
      </w:tr>
      <w:tr w:rsidR="00181532" w:rsidRPr="001A4E56" w14:paraId="6ACCEC64" w14:textId="77777777" w:rsidTr="00083E45">
        <w:trPr>
          <w:trHeight w:val="284"/>
          <w:jc w:val="center"/>
        </w:trPr>
        <w:tc>
          <w:tcPr>
            <w:tcW w:w="2268" w:type="dxa"/>
            <w:vMerge/>
            <w:vAlign w:val="center"/>
          </w:tcPr>
          <w:p w14:paraId="33BE1479" w14:textId="77777777" w:rsidR="00181532" w:rsidRPr="001A4E56" w:rsidRDefault="00181532" w:rsidP="00083E45">
            <w:pPr>
              <w:jc w:val="both"/>
              <w:rPr>
                <w:rFonts w:ascii="Trebuchet MS" w:hAnsi="Trebuchet MS"/>
                <w:sz w:val="16"/>
              </w:rPr>
            </w:pPr>
          </w:p>
        </w:tc>
        <w:tc>
          <w:tcPr>
            <w:tcW w:w="2268" w:type="dxa"/>
            <w:vAlign w:val="center"/>
          </w:tcPr>
          <w:p w14:paraId="1E2422E0" w14:textId="77777777" w:rsidR="00181532" w:rsidRPr="001A4E56" w:rsidRDefault="00181532" w:rsidP="00083E45">
            <w:pPr>
              <w:jc w:val="both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Resposta extensa</w:t>
            </w:r>
          </w:p>
        </w:tc>
        <w:tc>
          <w:tcPr>
            <w:tcW w:w="1705" w:type="dxa"/>
            <w:vAlign w:val="center"/>
          </w:tcPr>
          <w:p w14:paraId="6B5AB8B3" w14:textId="77777777" w:rsidR="00181532" w:rsidRPr="001A4E56" w:rsidRDefault="00181532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126C9641" w14:textId="77777777" w:rsidR="00181532" w:rsidRPr="001A4E56" w:rsidRDefault="00181532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50</w:t>
            </w:r>
          </w:p>
        </w:tc>
      </w:tr>
    </w:tbl>
    <w:p w14:paraId="50825D05" w14:textId="77777777" w:rsidR="00682113" w:rsidRPr="009A07C4" w:rsidRDefault="00682113" w:rsidP="005E7CC2">
      <w:pPr>
        <w:jc w:val="both"/>
        <w:rPr>
          <w:rFonts w:ascii="Trebuchet MS" w:hAnsi="Trebuchet MS"/>
          <w:sz w:val="20"/>
        </w:rPr>
      </w:pPr>
      <w:bookmarkStart w:id="0" w:name="_GoBack"/>
      <w:bookmarkEnd w:id="0"/>
    </w:p>
    <w:p w14:paraId="06A595C8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2.3.1. Os itens da prova exigem a análise dos documentos apresentados.</w:t>
      </w:r>
    </w:p>
    <w:p w14:paraId="196FCD0F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</w:p>
    <w:p w14:paraId="711A8326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2.3.2. Os documentos que constituem suporte de análise para a resposta aos itens podem apresentar perspectivas diferentes e possibilitam o estabelecimento de inter-relações, em ordem ao esclarecimento de uma problemática decorrente de uma ou mais unidades do módulo.</w:t>
      </w:r>
    </w:p>
    <w:p w14:paraId="21264CAE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</w:p>
    <w:p w14:paraId="55587D0F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2.3.3. Nos itens que apresentam a instrução «</w:t>
      </w:r>
      <w:r w:rsidRPr="009A07C4">
        <w:rPr>
          <w:rFonts w:ascii="Trebuchet MS" w:hAnsi="Trebuchet MS"/>
          <w:i/>
          <w:sz w:val="20"/>
        </w:rPr>
        <w:t>com base em</w:t>
      </w:r>
      <w:r w:rsidRPr="009A07C4">
        <w:rPr>
          <w:rFonts w:ascii="Trebuchet MS" w:hAnsi="Trebuchet MS"/>
          <w:sz w:val="20"/>
        </w:rPr>
        <w:t xml:space="preserve">», a construção das respostas deve mobilizar os elementos/dados presentes, explícita ou implicitamente, no(s) documento(s). </w:t>
      </w:r>
    </w:p>
    <w:p w14:paraId="3EC29E16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</w:p>
    <w:p w14:paraId="4B379293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2.3.4. Nos itens que apresentam a instrução «</w:t>
      </w:r>
      <w:r w:rsidRPr="009A07C4">
        <w:rPr>
          <w:rFonts w:ascii="Trebuchet MS" w:hAnsi="Trebuchet MS"/>
          <w:i/>
          <w:sz w:val="20"/>
        </w:rPr>
        <w:t>a partir de</w:t>
      </w:r>
      <w:r w:rsidRPr="009A07C4">
        <w:rPr>
          <w:rFonts w:ascii="Trebuchet MS" w:hAnsi="Trebuchet MS"/>
          <w:sz w:val="20"/>
        </w:rPr>
        <w:t>» é igualmente obrigatória a mobilização de dados contidos no(s) documento(s), embora a resposta não se limite a esses elementos.</w:t>
      </w:r>
    </w:p>
    <w:p w14:paraId="2DFEF06A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</w:p>
    <w:p w14:paraId="2859D246" w14:textId="77777777" w:rsidR="00A403C9" w:rsidRPr="009A07C4" w:rsidRDefault="00A403C9" w:rsidP="00A403C9">
      <w:pPr>
        <w:jc w:val="both"/>
        <w:rPr>
          <w:rFonts w:ascii="Trebuchet MS" w:hAnsi="Trebuchet MS"/>
          <w:b/>
          <w:sz w:val="20"/>
        </w:rPr>
      </w:pPr>
    </w:p>
    <w:p w14:paraId="18E49103" w14:textId="77777777" w:rsidR="00A403C9" w:rsidRPr="009A07C4" w:rsidRDefault="00A403C9" w:rsidP="00A403C9">
      <w:pPr>
        <w:jc w:val="both"/>
        <w:rPr>
          <w:rFonts w:ascii="Trebuchet MS" w:hAnsi="Trebuchet MS"/>
          <w:b/>
          <w:sz w:val="20"/>
        </w:rPr>
      </w:pPr>
      <w:r w:rsidRPr="009A07C4">
        <w:rPr>
          <w:rFonts w:ascii="Trebuchet MS" w:hAnsi="Trebuchet MS"/>
          <w:b/>
          <w:sz w:val="20"/>
        </w:rPr>
        <w:t>3. Critérios gerais de classificação</w:t>
      </w:r>
    </w:p>
    <w:p w14:paraId="139BE1CE" w14:textId="77777777" w:rsidR="00A403C9" w:rsidRPr="009A07C4" w:rsidRDefault="00A403C9" w:rsidP="00A403C9">
      <w:pPr>
        <w:jc w:val="both"/>
        <w:rPr>
          <w:rFonts w:ascii="Trebuchet MS" w:hAnsi="Trebuchet MS"/>
          <w:b/>
          <w:sz w:val="20"/>
        </w:rPr>
      </w:pPr>
    </w:p>
    <w:p w14:paraId="5E325AC6" w14:textId="77777777" w:rsidR="00A403C9" w:rsidRPr="00F962A1" w:rsidRDefault="00A403C9" w:rsidP="00A403C9">
      <w:pPr>
        <w:jc w:val="both"/>
        <w:rPr>
          <w:rFonts w:ascii="Trebuchet MS" w:hAnsi="Trebuchet MS"/>
          <w:b/>
          <w:sz w:val="20"/>
        </w:rPr>
      </w:pPr>
      <w:r w:rsidRPr="00F962A1">
        <w:rPr>
          <w:rFonts w:ascii="Trebuchet MS" w:hAnsi="Trebuchet MS"/>
          <w:b/>
          <w:sz w:val="20"/>
        </w:rPr>
        <w:t>3.1. Respostas</w:t>
      </w:r>
    </w:p>
    <w:p w14:paraId="4CD14DF2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</w:p>
    <w:p w14:paraId="14A82BF6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3.1.1. A classificação a atribuir a cada resposta resulta da aplicação dos critérios gerais e dos critérios específicos de classificação apresentados para cada item.</w:t>
      </w:r>
    </w:p>
    <w:p w14:paraId="12AB3730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</w:p>
    <w:p w14:paraId="4D70F677" w14:textId="77777777" w:rsidR="00A403C9" w:rsidRDefault="00A403C9" w:rsidP="00A403C9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3.1.2. As respostas ilegíveis ou que não possam ser claramente identificadas são classificadas com zero pontos.</w:t>
      </w:r>
    </w:p>
    <w:p w14:paraId="01AC1EC2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</w:p>
    <w:p w14:paraId="43249EB1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</w:p>
    <w:p w14:paraId="6EE8B834" w14:textId="77777777" w:rsidR="00A403C9" w:rsidRPr="00CD4083" w:rsidRDefault="00A403C9" w:rsidP="00A403C9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b/>
          <w:sz w:val="20"/>
        </w:rPr>
        <w:t xml:space="preserve">3.2. </w:t>
      </w:r>
      <w:r>
        <w:rPr>
          <w:rFonts w:ascii="Trebuchet MS" w:hAnsi="Trebuchet MS"/>
          <w:b/>
          <w:sz w:val="20"/>
        </w:rPr>
        <w:t>Níveis de desempenho</w:t>
      </w:r>
    </w:p>
    <w:p w14:paraId="70EF93CE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</w:p>
    <w:p w14:paraId="32063BD9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</w:t>
      </w:r>
      <w:r>
        <w:rPr>
          <w:rFonts w:ascii="Trebuchet MS" w:hAnsi="Trebuchet MS"/>
          <w:sz w:val="20"/>
        </w:rPr>
        <w:t>2.1</w:t>
      </w:r>
      <w:r w:rsidRPr="009A07C4">
        <w:rPr>
          <w:rFonts w:ascii="Trebuchet MS" w:hAnsi="Trebuchet MS"/>
          <w:sz w:val="20"/>
        </w:rPr>
        <w:t>.</w:t>
      </w:r>
      <w:r w:rsidRPr="009A07C4">
        <w:rPr>
          <w:rFonts w:ascii="Trebuchet MS" w:hAnsi="Trebuchet MS"/>
          <w:b/>
          <w:sz w:val="20"/>
        </w:rPr>
        <w:t xml:space="preserve"> </w:t>
      </w:r>
      <w:r>
        <w:rPr>
          <w:rFonts w:ascii="Trebuchet MS" w:hAnsi="Trebuchet MS"/>
          <w:sz w:val="20"/>
        </w:rPr>
        <w:t>O</w:t>
      </w:r>
      <w:r w:rsidRPr="009A07C4">
        <w:rPr>
          <w:rFonts w:ascii="Trebuchet MS" w:hAnsi="Trebuchet MS"/>
          <w:sz w:val="20"/>
        </w:rPr>
        <w:t>s critérios de classificação são organizados por níveis de desempenho. A cada nível de desempenho corresponde uma dada pontuação.</w:t>
      </w:r>
    </w:p>
    <w:p w14:paraId="3432D0F8" w14:textId="77777777" w:rsidR="00A403C9" w:rsidRPr="009A07C4" w:rsidRDefault="00A403C9" w:rsidP="00A403C9">
      <w:pPr>
        <w:jc w:val="both"/>
        <w:rPr>
          <w:rFonts w:ascii="Trebuchet MS" w:hAnsi="Trebuchet MS"/>
          <w:sz w:val="20"/>
        </w:rPr>
      </w:pPr>
    </w:p>
    <w:p w14:paraId="31BB68E2" w14:textId="11AB3160" w:rsidR="00A403C9" w:rsidRPr="00A403C9" w:rsidRDefault="00A403C9" w:rsidP="00A403C9">
      <w:p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3.2.2</w:t>
      </w:r>
      <w:r w:rsidRPr="009A07C4">
        <w:rPr>
          <w:rFonts w:ascii="Trebuchet MS" w:hAnsi="Trebuchet MS"/>
          <w:sz w:val="20"/>
        </w:rPr>
        <w:t>.</w:t>
      </w:r>
      <w:r w:rsidRPr="009A07C4">
        <w:rPr>
          <w:rFonts w:ascii="Trebuchet MS" w:hAnsi="Trebuchet MS"/>
          <w:b/>
          <w:sz w:val="20"/>
        </w:rPr>
        <w:t xml:space="preserve"> </w:t>
      </w:r>
      <w:r>
        <w:rPr>
          <w:rFonts w:ascii="Trebuchet MS" w:hAnsi="Trebuchet MS"/>
          <w:sz w:val="20"/>
        </w:rPr>
        <w:t>A</w:t>
      </w:r>
      <w:r w:rsidRPr="009A07C4">
        <w:rPr>
          <w:rFonts w:ascii="Trebuchet MS" w:hAnsi="Trebuchet MS"/>
          <w:sz w:val="20"/>
        </w:rPr>
        <w:t xml:space="preserve"> classificação traduz a avaliação do desempenho no domínio específico da disciplina e no domínio da comunicação escrita em língua portuguesa.</w:t>
      </w:r>
    </w:p>
    <w:p w14:paraId="7DB3705A" w14:textId="77777777" w:rsidR="00A403C9" w:rsidRPr="00376590" w:rsidRDefault="00A403C9" w:rsidP="00A403C9">
      <w:pPr>
        <w:jc w:val="both"/>
        <w:rPr>
          <w:rFonts w:ascii="Calibri" w:hAnsi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7938"/>
      </w:tblGrid>
      <w:tr w:rsidR="00A403C9" w:rsidRPr="00376590" w14:paraId="00D7907C" w14:textId="77777777" w:rsidTr="00083E45">
        <w:trPr>
          <w:jc w:val="center"/>
        </w:trPr>
        <w:tc>
          <w:tcPr>
            <w:tcW w:w="1134" w:type="dxa"/>
            <w:shd w:val="clear" w:color="auto" w:fill="auto"/>
          </w:tcPr>
          <w:p w14:paraId="67EA2D1F" w14:textId="77777777" w:rsidR="00A403C9" w:rsidRPr="00376590" w:rsidRDefault="00A403C9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376590">
              <w:rPr>
                <w:rFonts w:ascii="Calibri" w:hAnsi="Calibri"/>
                <w:b/>
                <w:i/>
                <w:sz w:val="20"/>
                <w:lang w:bidi="x-none"/>
              </w:rPr>
              <w:t>Níveis</w:t>
            </w:r>
          </w:p>
        </w:tc>
        <w:tc>
          <w:tcPr>
            <w:tcW w:w="7938" w:type="dxa"/>
            <w:shd w:val="clear" w:color="auto" w:fill="auto"/>
          </w:tcPr>
          <w:p w14:paraId="1DD1E4FE" w14:textId="77777777" w:rsidR="00A403C9" w:rsidRPr="00376590" w:rsidRDefault="00A403C9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376590">
              <w:rPr>
                <w:rFonts w:ascii="Calibri" w:hAnsi="Calibri"/>
                <w:b/>
                <w:i/>
                <w:sz w:val="20"/>
                <w:lang w:bidi="x-none"/>
              </w:rPr>
              <w:t>Descritores</w:t>
            </w:r>
          </w:p>
          <w:p w14:paraId="184A98E0" w14:textId="77777777" w:rsidR="00A403C9" w:rsidRPr="00376590" w:rsidRDefault="00A403C9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</w:p>
        </w:tc>
      </w:tr>
      <w:tr w:rsidR="00A403C9" w:rsidRPr="00376590" w14:paraId="46112990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68CEA6FB" w14:textId="77777777" w:rsidR="00A403C9" w:rsidRPr="00376590" w:rsidRDefault="00A403C9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14:paraId="5AE8E564" w14:textId="77777777" w:rsidR="00A403C9" w:rsidRPr="00376590" w:rsidRDefault="00A403C9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bem estruturada, sem erros de sintaxe, de pontuação e/ou de ortografia, ou com erros esporádicos, cuja gravidade não implique perda de inteligibilidade e/ou de sentido.</w:t>
            </w:r>
          </w:p>
          <w:p w14:paraId="33B51C73" w14:textId="77777777" w:rsidR="00A403C9" w:rsidRPr="00376590" w:rsidRDefault="00A403C9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A403C9" w:rsidRPr="00376590" w14:paraId="48E3653E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1B746596" w14:textId="77777777" w:rsidR="00A403C9" w:rsidRPr="00376590" w:rsidRDefault="00A403C9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14:paraId="5B69F106" w14:textId="77777777" w:rsidR="00A403C9" w:rsidRPr="00376590" w:rsidRDefault="00A403C9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razoavelmente estruturada, com alguns erros de sintaxe, de pontuação e/ou de ortografia, cuja gravidade não implique perda de inteligibilidade e/ou de sentido.</w:t>
            </w:r>
          </w:p>
          <w:p w14:paraId="0A50629A" w14:textId="77777777" w:rsidR="00A403C9" w:rsidRPr="00376590" w:rsidRDefault="00A403C9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A403C9" w:rsidRPr="00376590" w14:paraId="73B433B0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56AFD74F" w14:textId="77777777" w:rsidR="00A403C9" w:rsidRPr="00376590" w:rsidRDefault="00A403C9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14:paraId="32E3DF18" w14:textId="77777777" w:rsidR="00A403C9" w:rsidRPr="00376590" w:rsidRDefault="00A403C9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sem estruturação aparente, com erros graves de sintaxe, de pontuação e/ou de ortografia, cuja gravidade implique perda frequente de inteligibilidade e/ou de sentido.</w:t>
            </w:r>
          </w:p>
          <w:p w14:paraId="6AF27D0C" w14:textId="77777777" w:rsidR="00A403C9" w:rsidRPr="00376590" w:rsidRDefault="00A403C9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</w:tbl>
    <w:p w14:paraId="3B73537D" w14:textId="77777777" w:rsidR="00A403C9" w:rsidRPr="00376590" w:rsidRDefault="00A403C9" w:rsidP="00A403C9">
      <w:pPr>
        <w:jc w:val="both"/>
        <w:rPr>
          <w:rFonts w:ascii="Calibri" w:hAnsi="Calibri"/>
          <w:sz w:val="20"/>
          <w:szCs w:val="20"/>
        </w:rPr>
      </w:pPr>
    </w:p>
    <w:p w14:paraId="5256A5FF" w14:textId="77777777" w:rsidR="00A403C9" w:rsidRPr="00376590" w:rsidRDefault="00A403C9" w:rsidP="00A403C9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3.2.3. </w:t>
      </w:r>
      <w:r w:rsidRPr="00376590">
        <w:rPr>
          <w:rFonts w:ascii="Trebuchet MS" w:hAnsi="Trebuchet MS"/>
          <w:sz w:val="20"/>
          <w:szCs w:val="20"/>
        </w:rPr>
        <w:t>No caso de a resposta não atingir o nível 1 de desempenho no domínio específico da disciplina, a classificação a atribuir é zero pontos. Neste caso, não é classificado o desempenho no domínio da comunicação escrita em língua portuguesa</w:t>
      </w:r>
    </w:p>
    <w:p w14:paraId="612AFB54" w14:textId="77777777" w:rsidR="00A403C9" w:rsidRPr="00376590" w:rsidRDefault="00A403C9" w:rsidP="00A403C9">
      <w:pPr>
        <w:jc w:val="both"/>
        <w:rPr>
          <w:rFonts w:ascii="Trebuchet MS" w:hAnsi="Trebuchet MS"/>
          <w:sz w:val="20"/>
          <w:szCs w:val="20"/>
        </w:rPr>
      </w:pPr>
    </w:p>
    <w:p w14:paraId="48F8C199" w14:textId="77777777" w:rsidR="00A403C9" w:rsidRPr="00376590" w:rsidRDefault="00A403C9" w:rsidP="00A403C9">
      <w:pPr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4</w:t>
      </w:r>
      <w:r w:rsidRPr="00376590">
        <w:rPr>
          <w:rFonts w:ascii="Trebuchet MS" w:hAnsi="Trebuchet MS"/>
          <w:b/>
          <w:sz w:val="20"/>
          <w:szCs w:val="20"/>
        </w:rPr>
        <w:t>. Material</w:t>
      </w:r>
    </w:p>
    <w:p w14:paraId="0A27DCA2" w14:textId="77777777" w:rsidR="00A403C9" w:rsidRPr="00376590" w:rsidRDefault="00A403C9" w:rsidP="00A403C9">
      <w:pPr>
        <w:jc w:val="both"/>
        <w:rPr>
          <w:rFonts w:ascii="Trebuchet MS" w:hAnsi="Trebuchet MS"/>
          <w:sz w:val="20"/>
          <w:szCs w:val="20"/>
        </w:rPr>
      </w:pPr>
    </w:p>
    <w:p w14:paraId="3647E25B" w14:textId="77777777" w:rsidR="00A403C9" w:rsidRPr="00376590" w:rsidRDefault="00A403C9" w:rsidP="00A403C9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4.1. </w:t>
      </w:r>
      <w:r w:rsidRPr="00376590">
        <w:rPr>
          <w:rFonts w:ascii="Trebuchet MS" w:hAnsi="Trebuchet MS"/>
          <w:sz w:val="20"/>
          <w:szCs w:val="20"/>
        </w:rPr>
        <w:t>O aluno apenas pode usar, como material de escrita, caneta ou esferográfica de tinta indelével, azul ou preta.</w:t>
      </w:r>
    </w:p>
    <w:p w14:paraId="7EC39D0A" w14:textId="77777777" w:rsidR="00A403C9" w:rsidRDefault="00A403C9" w:rsidP="00A403C9">
      <w:pPr>
        <w:jc w:val="both"/>
        <w:rPr>
          <w:rFonts w:ascii="Trebuchet MS" w:hAnsi="Trebuchet MS"/>
          <w:sz w:val="20"/>
          <w:szCs w:val="20"/>
        </w:rPr>
      </w:pPr>
    </w:p>
    <w:p w14:paraId="316C7C9F" w14:textId="77777777" w:rsidR="00A403C9" w:rsidRPr="00376590" w:rsidRDefault="00A403C9" w:rsidP="00A403C9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4.2. </w:t>
      </w:r>
      <w:r w:rsidRPr="00376590">
        <w:rPr>
          <w:rFonts w:ascii="Trebuchet MS" w:hAnsi="Trebuchet MS"/>
          <w:sz w:val="20"/>
          <w:szCs w:val="20"/>
        </w:rPr>
        <w:t>As respostas são registadas em folha própria – a folha de respostas disponível na Escola</w:t>
      </w:r>
    </w:p>
    <w:p w14:paraId="29F5C07F" w14:textId="77777777" w:rsidR="00A403C9" w:rsidRDefault="00A403C9" w:rsidP="00A403C9">
      <w:pPr>
        <w:jc w:val="both"/>
        <w:rPr>
          <w:rFonts w:ascii="Trebuchet MS" w:hAnsi="Trebuchet MS"/>
          <w:sz w:val="20"/>
          <w:szCs w:val="20"/>
        </w:rPr>
      </w:pPr>
    </w:p>
    <w:p w14:paraId="3B3DE3B3" w14:textId="6F91EBF8" w:rsidR="00682113" w:rsidRPr="00A403C9" w:rsidRDefault="00A403C9" w:rsidP="00A403C9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4.3. </w:t>
      </w:r>
      <w:r w:rsidRPr="00376590">
        <w:rPr>
          <w:rFonts w:ascii="Trebuchet MS" w:hAnsi="Trebuchet MS"/>
          <w:sz w:val="20"/>
          <w:szCs w:val="20"/>
        </w:rPr>
        <w:t>Não é permitido o uso de corretor.</w:t>
      </w:r>
    </w:p>
    <w:sectPr w:rsidR="00682113" w:rsidRPr="00A403C9" w:rsidSect="00A44FCA">
      <w:pgSz w:w="11900" w:h="16840"/>
      <w:pgMar w:top="567" w:right="851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97E38"/>
    <w:multiLevelType w:val="multilevel"/>
    <w:tmpl w:val="7C22BA18"/>
    <w:lvl w:ilvl="0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95725A"/>
    <w:multiLevelType w:val="hybridMultilevel"/>
    <w:tmpl w:val="7C22BA18"/>
    <w:lvl w:ilvl="0" w:tplc="801A4FB6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D4"/>
    <w:rsid w:val="00181532"/>
    <w:rsid w:val="00682113"/>
    <w:rsid w:val="008520D4"/>
    <w:rsid w:val="00A15521"/>
    <w:rsid w:val="00A403C9"/>
    <w:rsid w:val="00AC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1860DD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181532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basedOn w:val="DefaultParagraphFont"/>
    <w:link w:val="PlainText"/>
    <w:uiPriority w:val="99"/>
    <w:rsid w:val="00181532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15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532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AC06FA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AC06FA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181532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basedOn w:val="DefaultParagraphFont"/>
    <w:link w:val="PlainText"/>
    <w:uiPriority w:val="99"/>
    <w:rsid w:val="00181532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15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532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AC06FA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AC06F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882</Words>
  <Characters>5031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Objeto de avaliação</vt:lpstr>
    </vt:vector>
  </TitlesOfParts>
  <Company>Fabula Urbis, Lda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Objeto de avaliação</dc:title>
  <dc:subject/>
  <dc:creator>João Pimentel</dc:creator>
  <cp:keywords/>
  <cp:lastModifiedBy>Fabula Urbis</cp:lastModifiedBy>
  <cp:revision>6</cp:revision>
  <dcterms:created xsi:type="dcterms:W3CDTF">2015-10-04T16:10:00Z</dcterms:created>
  <dcterms:modified xsi:type="dcterms:W3CDTF">2015-10-04T17:13:00Z</dcterms:modified>
</cp:coreProperties>
</file>