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5D4" w14:textId="77777777" w:rsidR="00BE5AD8" w:rsidRDefault="00F379F9">
      <w:pPr>
        <w:tabs>
          <w:tab w:val="center" w:pos="2557"/>
          <w:tab w:val="center" w:pos="7736"/>
          <w:tab w:val="center" w:pos="12871"/>
        </w:tabs>
        <w:spacing w:after="0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noProof/>
        </w:rPr>
        <w:drawing>
          <wp:inline distT="0" distB="0" distL="0" distR="0" wp14:anchorId="08043430" wp14:editId="2452D235">
            <wp:extent cx="1552448" cy="45021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448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1856FAA5" wp14:editId="5BDA590B">
            <wp:extent cx="1180770" cy="4127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77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noProof/>
        </w:rPr>
        <w:drawing>
          <wp:inline distT="0" distB="0" distL="0" distR="0" wp14:anchorId="6296D150" wp14:editId="4EE8CD7E">
            <wp:extent cx="1923415" cy="44386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15451" w:type="dxa"/>
        <w:tblInd w:w="-15" w:type="dxa"/>
        <w:tblCellMar>
          <w:top w:w="5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5451"/>
      </w:tblGrid>
      <w:tr w:rsidR="00BE5AD8" w14:paraId="54E394A0" w14:textId="77777777" w:rsidTr="00415E9F">
        <w:trPr>
          <w:trHeight w:val="2430"/>
        </w:trPr>
        <w:tc>
          <w:tcPr>
            <w:tcW w:w="15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D733" w14:textId="77777777" w:rsidR="00BE5AD8" w:rsidRDefault="00F379F9">
            <w:pPr>
              <w:spacing w:after="78"/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ESCOLA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SECUNDÁRIA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D.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PEDRO</w:t>
            </w:r>
            <w:r>
              <w:rPr>
                <w:rFonts w:ascii="Trebuchet MS" w:eastAsia="Trebuchet MS" w:hAnsi="Trebuchet MS" w:cs="Trebuchet MS"/>
                <w:b/>
                <w:sz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V </w:t>
            </w:r>
          </w:p>
          <w:p w14:paraId="0051524F" w14:textId="77777777" w:rsidR="0030349D" w:rsidRDefault="00F379F9">
            <w:pPr>
              <w:spacing w:after="172" w:line="237" w:lineRule="auto"/>
              <w:ind w:left="2148" w:right="1548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ENSINO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RECORRENTE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POR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MÓDULOS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CAPITALIZÁVEIS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–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Avaliação em regime Não Presencial          </w:t>
            </w:r>
          </w:p>
          <w:p w14:paraId="7690C0C7" w14:textId="459E4313" w:rsidR="00BE5AD8" w:rsidRDefault="00F379F9" w:rsidP="00815309">
            <w:pPr>
              <w:spacing w:after="172" w:line="237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MATRIZ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DE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PROVA</w:t>
            </w:r>
          </w:p>
          <w:p w14:paraId="2A4078DF" w14:textId="77777777" w:rsidR="00BE5AD8" w:rsidRDefault="00F379F9">
            <w:pPr>
              <w:spacing w:after="25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URSO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Línguas e Humanidades                                                                                                                                           </w:t>
            </w:r>
          </w:p>
          <w:p w14:paraId="0669D01E" w14:textId="7681787A" w:rsidR="00BE5AD8" w:rsidRDefault="00F379F9" w:rsidP="00E2663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ISCIPLINA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="00D60E83" w:rsidRPr="00D60E83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Geografia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– Formação </w:t>
            </w:r>
            <w:r w:rsidR="00D60E83">
              <w:rPr>
                <w:rFonts w:ascii="Trebuchet MS" w:eastAsia="Trebuchet MS" w:hAnsi="Trebuchet MS" w:cs="Trebuchet MS"/>
                <w:b/>
                <w:sz w:val="20"/>
              </w:rPr>
              <w:t>Geral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      </w:t>
            </w:r>
            <w:r w:rsidR="00B865F0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 </w:t>
            </w:r>
            <w:r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MÓDULO: </w:t>
            </w:r>
            <w:r w:rsidR="008F64C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</w:t>
            </w:r>
            <w:r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B865F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–</w:t>
            </w:r>
            <w:r w:rsidR="00815309" w:rsidRPr="002A5AD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B865F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 </w:t>
            </w:r>
            <w:r w:rsidR="008F64CF" w:rsidRPr="008F64C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</w:t>
            </w:r>
            <w:r w:rsidR="00B865F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OPULAÇÃO</w:t>
            </w:r>
          </w:p>
          <w:p w14:paraId="497C0193" w14:textId="77777777" w:rsidR="00E26636" w:rsidRPr="00E26636" w:rsidRDefault="00E26636" w:rsidP="00E26636">
            <w:pPr>
              <w:spacing w:line="259" w:lineRule="auto"/>
              <w:rPr>
                <w:rFonts w:ascii="Trebuchet MS" w:eastAsia="Times New Roman" w:hAnsi="Trebuchet MS" w:cs="Times New Roman"/>
                <w:b/>
                <w:bCs/>
              </w:rPr>
            </w:pPr>
          </w:p>
          <w:p w14:paraId="2461BEDB" w14:textId="751AB667" w:rsidR="00BE5AD8" w:rsidRDefault="00F379F9" w:rsidP="00815309">
            <w:r>
              <w:rPr>
                <w:rFonts w:ascii="Trebuchet MS" w:eastAsia="Trebuchet MS" w:hAnsi="Trebuchet MS" w:cs="Trebuchet MS"/>
                <w:b/>
                <w:sz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URAÇÃO DA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sz w:val="20"/>
                <w:u w:val="single" w:color="000000"/>
              </w:rPr>
              <w:t>90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minutos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IPO DE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ROVA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sz w:val="20"/>
                <w:u w:val="single" w:color="000000"/>
              </w:rPr>
              <w:t>Escrita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14:paraId="0A99B246" w14:textId="4558D07E" w:rsidR="0030349D" w:rsidRPr="00E26636" w:rsidRDefault="0030349D" w:rsidP="00D60E83">
      <w:pPr>
        <w:spacing w:after="0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Grid1"/>
        <w:tblW w:w="15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69"/>
        <w:gridCol w:w="6553"/>
        <w:gridCol w:w="2601"/>
        <w:gridCol w:w="1191"/>
      </w:tblGrid>
      <w:tr w:rsidR="0030349D" w:rsidRPr="0030349D" w14:paraId="6FE5BBCF" w14:textId="77777777" w:rsidTr="004F4BCF">
        <w:trPr>
          <w:trHeight w:val="475"/>
        </w:trPr>
        <w:tc>
          <w:tcPr>
            <w:tcW w:w="5245" w:type="dxa"/>
            <w:vAlign w:val="center"/>
          </w:tcPr>
          <w:p w14:paraId="0B90C264" w14:textId="7F461456" w:rsidR="0030349D" w:rsidRPr="0079105C" w:rsidRDefault="00AB2E07" w:rsidP="0030349D">
            <w:pPr>
              <w:ind w:left="5"/>
              <w:jc w:val="center"/>
              <w:rPr>
                <w:rFonts w:ascii="Trebuchet MS" w:hAnsi="Trebuchet MS"/>
                <w:b/>
                <w:bCs/>
              </w:rPr>
            </w:pPr>
            <w:r w:rsidRPr="0079105C">
              <w:rPr>
                <w:rFonts w:ascii="Trebuchet MS" w:hAnsi="Trebuchet MS"/>
                <w:b/>
                <w:bCs/>
              </w:rPr>
              <w:t>D</w:t>
            </w:r>
            <w:r w:rsidR="0079105C" w:rsidRPr="0079105C">
              <w:rPr>
                <w:rFonts w:ascii="Trebuchet MS" w:hAnsi="Trebuchet MS"/>
                <w:b/>
                <w:bCs/>
              </w:rPr>
              <w:t>omínio</w:t>
            </w:r>
            <w:r w:rsidR="0079105C">
              <w:rPr>
                <w:rFonts w:ascii="Trebuchet MS" w:hAnsi="Trebuchet MS"/>
                <w:b/>
                <w:bCs/>
              </w:rPr>
              <w:t>/ conteúdos</w:t>
            </w:r>
          </w:p>
        </w:tc>
        <w:tc>
          <w:tcPr>
            <w:tcW w:w="6662" w:type="dxa"/>
            <w:vAlign w:val="center"/>
          </w:tcPr>
          <w:p w14:paraId="4B7E2981" w14:textId="7E14D651" w:rsidR="0030349D" w:rsidRPr="0030349D" w:rsidRDefault="0079105C" w:rsidP="0030349D">
            <w:pPr>
              <w:ind w:left="5"/>
              <w:jc w:val="center"/>
              <w:rPr>
                <w:b/>
                <w:bCs/>
              </w:rPr>
            </w:pP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A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prendizagens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30349D">
              <w:rPr>
                <w:rFonts w:ascii="Trebuchet MS" w:eastAsia="Trebuchet MS" w:hAnsi="Trebuchet MS" w:cs="Trebuchet MS"/>
                <w:b/>
                <w:bCs/>
                <w:sz w:val="20"/>
              </w:rPr>
              <w:t>ssenciais</w:t>
            </w:r>
          </w:p>
        </w:tc>
        <w:tc>
          <w:tcPr>
            <w:tcW w:w="2411" w:type="dxa"/>
            <w:vAlign w:val="center"/>
          </w:tcPr>
          <w:p w14:paraId="420B1606" w14:textId="508F70FC" w:rsidR="0030349D" w:rsidRPr="0030349D" w:rsidRDefault="0079105C" w:rsidP="0030349D">
            <w:pPr>
              <w:ind w:left="5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>Estrutura da prova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3E58CE0E" w14:textId="36637D68" w:rsidR="0030349D" w:rsidRPr="00AB2E07" w:rsidRDefault="0079105C" w:rsidP="0030349D">
            <w:pPr>
              <w:ind w:left="6"/>
              <w:jc w:val="center"/>
              <w:rPr>
                <w:b/>
                <w:bCs/>
              </w:rPr>
            </w:pPr>
            <w:r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>Cotação</w:t>
            </w:r>
            <w:r w:rsidR="0030349D" w:rsidRPr="00AB2E07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</w:p>
        </w:tc>
      </w:tr>
      <w:tr w:rsidR="0030349D" w:rsidRPr="0030349D" w14:paraId="17815869" w14:textId="77777777" w:rsidTr="004F4BCF">
        <w:trPr>
          <w:trHeight w:val="666"/>
        </w:trPr>
        <w:tc>
          <w:tcPr>
            <w:tcW w:w="5245" w:type="dxa"/>
          </w:tcPr>
          <w:p w14:paraId="1D3DB53C" w14:textId="77777777" w:rsidR="00495B02" w:rsidRDefault="00495B02" w:rsidP="004F4BCF">
            <w:pPr>
              <w:ind w:right="-135"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3B7E84F6" w14:textId="645147D5" w:rsidR="000E6BE1" w:rsidRPr="007D149C" w:rsidRDefault="00D347EB" w:rsidP="004F4BCF">
            <w:pPr>
              <w:ind w:right="-135"/>
            </w:pP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A 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Posição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d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e </w:t>
            </w: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Portugal 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Na </w:t>
            </w: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Europa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e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n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o </w:t>
            </w: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Mundo</w:t>
            </w:r>
          </w:p>
          <w:p w14:paraId="3B64F57B" w14:textId="77777777" w:rsidR="00D347EB" w:rsidRDefault="00D347EB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• a</w:t>
            </w:r>
            <w:r w:rsidRPr="003F7588">
              <w:rPr>
                <w:rFonts w:ascii="Trebuchet MS" w:hAnsi="Trebuchet MS"/>
                <w:sz w:val="20"/>
                <w:szCs w:val="20"/>
              </w:rPr>
              <w:t xml:space="preserve"> constituição do território nacional</w:t>
            </w: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 </w:t>
            </w:r>
          </w:p>
          <w:p w14:paraId="56861A0E" w14:textId="2B4A6657" w:rsidR="00D347EB" w:rsidRPr="000E6BE1" w:rsidRDefault="00D347EB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Pr="003F7588">
              <w:rPr>
                <w:rFonts w:ascii="Trebuchet MS" w:hAnsi="Trebuchet MS"/>
                <w:sz w:val="20"/>
                <w:szCs w:val="20"/>
              </w:rPr>
              <w:t xml:space="preserve"> posição geográfica de Portugal</w:t>
            </w:r>
            <w:r w:rsidR="007D149C">
              <w:rPr>
                <w:rFonts w:ascii="Trebuchet MS" w:hAnsi="Trebuchet MS"/>
                <w:sz w:val="20"/>
                <w:szCs w:val="20"/>
              </w:rPr>
              <w:t xml:space="preserve"> continental e insular</w:t>
            </w:r>
          </w:p>
          <w:p w14:paraId="71A2715C" w14:textId="4F4BFCA1" w:rsidR="00D347EB" w:rsidRPr="000E6BE1" w:rsidRDefault="00D347EB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Pr="003F7588">
              <w:rPr>
                <w:rFonts w:ascii="Trebuchet MS" w:hAnsi="Trebuchet MS"/>
                <w:sz w:val="20"/>
                <w:szCs w:val="20"/>
              </w:rPr>
              <w:t xml:space="preserve"> inserção de Portugal em diferentes espaços</w:t>
            </w:r>
          </w:p>
          <w:p w14:paraId="3BAC63A3" w14:textId="1C02FC09" w:rsidR="007D149C" w:rsidRDefault="007D149C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sz w:val="10"/>
                <w:szCs w:val="10"/>
              </w:rPr>
            </w:pPr>
          </w:p>
          <w:p w14:paraId="398BA0C4" w14:textId="77777777" w:rsidR="00E26636" w:rsidRPr="00E26636" w:rsidRDefault="00E26636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sz w:val="10"/>
                <w:szCs w:val="10"/>
              </w:rPr>
            </w:pPr>
          </w:p>
          <w:p w14:paraId="70FD53AA" w14:textId="4E4D3216" w:rsidR="00415E9F" w:rsidRDefault="00D347EB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A 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População, Utilizadora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d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e Recursos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e 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 xml:space="preserve">Organizadora </w:t>
            </w:r>
            <w:r w:rsid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d</w:t>
            </w:r>
            <w:r w:rsidR="00AB28CF"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e Espaços</w:t>
            </w:r>
          </w:p>
          <w:p w14:paraId="02874F89" w14:textId="77777777" w:rsidR="00E26636" w:rsidRPr="004F4BCF" w:rsidRDefault="00E26636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8"/>
                <w:szCs w:val="8"/>
              </w:rPr>
            </w:pPr>
          </w:p>
          <w:p w14:paraId="739FA9E2" w14:textId="3C8B3DD2" w:rsidR="000E6BE1" w:rsidRPr="00AB28CF" w:rsidRDefault="00D347EB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  <w:r w:rsidRPr="00D347EB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A população: evolução e diferenças regionais</w:t>
            </w:r>
          </w:p>
          <w:p w14:paraId="4F454A59" w14:textId="73336D2D" w:rsidR="000E6BE1" w:rsidRPr="000E6BE1" w:rsidRDefault="000E6BE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 w:rsidR="00AB28C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a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 xml:space="preserve"> evolução da população na 2ª metade do século XX</w:t>
            </w:r>
          </w:p>
          <w:p w14:paraId="30420CED" w14:textId="0F9404DD" w:rsidR="000E6BE1" w:rsidRPr="00AB28CF" w:rsidRDefault="000E6BE1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 w:rsid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a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s estruturas e comportamentos sociodemográficos</w:t>
            </w:r>
          </w:p>
          <w:p w14:paraId="70F6BCB5" w14:textId="395DF0A0" w:rsidR="000E6BE1" w:rsidRPr="000E6BE1" w:rsidRDefault="000E6BE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 w:rsid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o</w:t>
            </w:r>
            <w:r w:rsidR="00AB28CF" w:rsidRPr="00AB28CF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s principais problemas sociodemográficos</w:t>
            </w:r>
          </w:p>
          <w:p w14:paraId="69B4EEA7" w14:textId="0645FFFC" w:rsidR="00AB28CF" w:rsidRPr="000E6BE1" w:rsidRDefault="00AB28CF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rebuchet MS" w:hAnsi="Trebuchet MS"/>
                <w:sz w:val="20"/>
                <w:szCs w:val="20"/>
              </w:rPr>
              <w:t xml:space="preserve">o </w:t>
            </w:r>
            <w:r w:rsidRPr="003F7588">
              <w:rPr>
                <w:rFonts w:ascii="Trebuchet MS" w:hAnsi="Trebuchet MS"/>
                <w:sz w:val="20"/>
                <w:szCs w:val="20"/>
              </w:rPr>
              <w:t>rejuvenescimento e a valorização da população</w:t>
            </w:r>
          </w:p>
          <w:p w14:paraId="4BED1AB8" w14:textId="3E2E8DD2" w:rsidR="00AB28CF" w:rsidRDefault="00AB28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1B039087" w14:textId="7DFFF175" w:rsidR="00E26636" w:rsidRDefault="00E26636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0A1C8F94" w14:textId="1E47D563" w:rsidR="00E26636" w:rsidRDefault="00E26636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44D1EA71" w14:textId="441BC2B9" w:rsidR="004F4BCF" w:rsidRDefault="004F4B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780A0C98" w14:textId="349217CF" w:rsidR="004F4BCF" w:rsidRDefault="004F4B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63A82BF3" w14:textId="45AAFB9E" w:rsidR="004F4BCF" w:rsidRDefault="004F4B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4B83BD48" w14:textId="18A8B4A2" w:rsidR="004F4BCF" w:rsidRDefault="004F4B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1B266A05" w14:textId="2BBDFA04" w:rsidR="00495B02" w:rsidRDefault="00495B02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322D27C6" w14:textId="77777777" w:rsidR="00495B02" w:rsidRDefault="00495B02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</w:p>
          <w:p w14:paraId="7671FBC1" w14:textId="7361B25C" w:rsidR="00AB28CF" w:rsidRPr="00AB28CF" w:rsidRDefault="00AB28CF" w:rsidP="004F4BCF">
            <w:pPr>
              <w:spacing w:line="276" w:lineRule="auto"/>
              <w:ind w:right="-135"/>
              <w:contextualSpacing/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</w:pPr>
            <w:r w:rsidRPr="00AB28CF">
              <w:rPr>
                <w:rFonts w:ascii="Trebuchet MS" w:eastAsia="Times New Roman" w:hAnsi="Trebuchet MS" w:cs="Times New Roman"/>
                <w:b/>
                <w:color w:val="auto"/>
                <w:sz w:val="20"/>
                <w:szCs w:val="20"/>
              </w:rPr>
              <w:t>A distribuição da população</w:t>
            </w:r>
          </w:p>
          <w:p w14:paraId="09100858" w14:textId="0DD40A63" w:rsidR="000E6BE1" w:rsidRPr="00AB28CF" w:rsidRDefault="000E6BE1" w:rsidP="004F4BCF">
            <w:pPr>
              <w:ind w:right="-135"/>
              <w:rPr>
                <w:rFonts w:ascii="Trebuchet MS" w:eastAsia="Times New Roman" w:hAnsi="Trebuchet MS" w:cs="Times New Roman"/>
                <w:b/>
                <w:sz w:val="10"/>
                <w:szCs w:val="10"/>
              </w:rPr>
            </w:pPr>
          </w:p>
          <w:p w14:paraId="471CD4A9" w14:textId="274B0824" w:rsidR="000E6BE1" w:rsidRPr="000E6BE1" w:rsidRDefault="000E6BE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• </w:t>
            </w:r>
            <w:r w:rsidR="001D2546">
              <w:rPr>
                <w:rFonts w:ascii="Trebuchet MS" w:hAnsi="Trebuchet MS"/>
                <w:bCs/>
                <w:sz w:val="20"/>
                <w:szCs w:val="20"/>
              </w:rPr>
              <w:t>o</w:t>
            </w:r>
            <w:r w:rsidR="00AB28CF" w:rsidRPr="003F7588">
              <w:rPr>
                <w:rFonts w:ascii="Trebuchet MS" w:hAnsi="Trebuchet MS"/>
                <w:sz w:val="20"/>
                <w:szCs w:val="20"/>
              </w:rPr>
              <w:t>s condicionantes da distribuição da população</w:t>
            </w:r>
          </w:p>
          <w:p w14:paraId="53A513FF" w14:textId="57E7EFD1" w:rsidR="0030349D" w:rsidRPr="00AB28CF" w:rsidRDefault="000E6BE1" w:rsidP="004F4BCF">
            <w:pPr>
              <w:ind w:right="-135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0E6BE1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•</w:t>
            </w:r>
            <w:r w:rsidR="00AB28CF" w:rsidRPr="003F758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2546">
              <w:rPr>
                <w:rFonts w:ascii="Trebuchet MS" w:hAnsi="Trebuchet MS"/>
                <w:sz w:val="20"/>
                <w:szCs w:val="20"/>
              </w:rPr>
              <w:t>o</w:t>
            </w:r>
            <w:r w:rsidR="00AB28CF" w:rsidRPr="003F7588">
              <w:rPr>
                <w:rFonts w:ascii="Trebuchet MS" w:hAnsi="Trebuchet MS"/>
                <w:sz w:val="20"/>
                <w:szCs w:val="20"/>
              </w:rPr>
              <w:t>s problemas na distribuição da população</w:t>
            </w:r>
          </w:p>
        </w:tc>
        <w:tc>
          <w:tcPr>
            <w:tcW w:w="6662" w:type="dxa"/>
            <w:shd w:val="clear" w:color="auto" w:fill="auto"/>
          </w:tcPr>
          <w:p w14:paraId="7EFD03FC" w14:textId="77777777" w:rsidR="0030349D" w:rsidRPr="00D13FB5" w:rsidRDefault="0030349D" w:rsidP="004F4BCF">
            <w:pPr>
              <w:ind w:left="2" w:right="-135" w:hanging="114"/>
              <w:rPr>
                <w:sz w:val="16"/>
                <w:szCs w:val="16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D458E31" w14:textId="19BC61EE" w:rsidR="000E6BE1" w:rsidRPr="00495B02" w:rsidRDefault="000E6BE1" w:rsidP="004F4BCF">
            <w:pPr>
              <w:shd w:val="clear" w:color="auto" w:fill="FFFFFF" w:themeFill="background1"/>
              <w:autoSpaceDE w:val="0"/>
              <w:autoSpaceDN w:val="0"/>
              <w:adjustRightInd w:val="0"/>
              <w:ind w:right="-135"/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</w:pPr>
            <w:r w:rsidRPr="00495B02"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  <w:t xml:space="preserve">ANALISAR QUESTÕES GEOGRAFICAMENTE RELEVANTES DO ESPAÇO PORTUGUÊS </w:t>
            </w:r>
          </w:p>
          <w:p w14:paraId="30A2C88B" w14:textId="77777777" w:rsidR="007D149C" w:rsidRPr="00495B02" w:rsidRDefault="007D149C" w:rsidP="004F4BCF">
            <w:pPr>
              <w:autoSpaceDE w:val="0"/>
              <w:autoSpaceDN w:val="0"/>
              <w:adjustRightInd w:val="0"/>
              <w:ind w:left="156" w:right="-135"/>
              <w:rPr>
                <w:rFonts w:ascii="Trebuchet MS" w:hAnsi="Trebuchet MS"/>
                <w:color w:val="auto"/>
                <w:sz w:val="10"/>
                <w:szCs w:val="10"/>
              </w:rPr>
            </w:pPr>
          </w:p>
          <w:p w14:paraId="250A3CF0" w14:textId="6FF452BC" w:rsidR="000E6BE1" w:rsidRPr="00495B02" w:rsidRDefault="007D149C" w:rsidP="004F4BCF">
            <w:pPr>
              <w:autoSpaceDE w:val="0"/>
              <w:autoSpaceDN w:val="0"/>
              <w:adjustRightInd w:val="0"/>
              <w:ind w:left="156" w:right="-135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95B02">
              <w:rPr>
                <w:rFonts w:ascii="Trebuchet MS" w:hAnsi="Trebuchet MS"/>
                <w:color w:val="auto"/>
                <w:sz w:val="18"/>
                <w:szCs w:val="18"/>
              </w:rPr>
              <w:t>Reconhecer a importância da localização na explicação geográfica, analisando informação representada em mapas com diferentes escalas e sistemas de projeção.</w:t>
            </w:r>
          </w:p>
          <w:p w14:paraId="6096386F" w14:textId="77777777" w:rsidR="00E26636" w:rsidRPr="00495B02" w:rsidRDefault="00E26636" w:rsidP="004F4BCF">
            <w:pPr>
              <w:shd w:val="clear" w:color="auto" w:fill="FFFFFF" w:themeFill="background1"/>
              <w:autoSpaceDE w:val="0"/>
              <w:autoSpaceDN w:val="0"/>
              <w:adjustRightInd w:val="0"/>
              <w:ind w:right="-135"/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</w:pPr>
          </w:p>
          <w:p w14:paraId="3C4C76D5" w14:textId="77777777" w:rsidR="00495B02" w:rsidRPr="00495B02" w:rsidRDefault="00495B02" w:rsidP="004F4BCF">
            <w:pPr>
              <w:shd w:val="clear" w:color="auto" w:fill="FFFFFF" w:themeFill="background1"/>
              <w:autoSpaceDE w:val="0"/>
              <w:autoSpaceDN w:val="0"/>
              <w:adjustRightInd w:val="0"/>
              <w:ind w:right="-135"/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</w:pPr>
          </w:p>
          <w:p w14:paraId="0A88D0EB" w14:textId="635E8620" w:rsidR="007D149C" w:rsidRPr="00495B02" w:rsidRDefault="007D149C" w:rsidP="004F4BCF">
            <w:pPr>
              <w:shd w:val="clear" w:color="auto" w:fill="FFFFFF" w:themeFill="background1"/>
              <w:autoSpaceDE w:val="0"/>
              <w:autoSpaceDN w:val="0"/>
              <w:adjustRightInd w:val="0"/>
              <w:ind w:right="-135"/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</w:pPr>
            <w:r w:rsidRPr="00495B02"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  <w:t xml:space="preserve">ANALISAR QUESTÕES GEOGRAFICAMENTE RELEVANTES DO ESPAÇO PORTUGUÊS </w:t>
            </w:r>
          </w:p>
          <w:p w14:paraId="4CC52FBA" w14:textId="00A12AA9" w:rsidR="007D149C" w:rsidRPr="00495B02" w:rsidRDefault="007D149C" w:rsidP="004F4BCF">
            <w:pPr>
              <w:ind w:right="-135"/>
              <w:rPr>
                <w:rFonts w:ascii="Trebuchet MS" w:eastAsia="Times New Roman" w:hAnsi="Trebuchet MS" w:cs="Times New Roman"/>
                <w:b/>
                <w:bCs/>
                <w:color w:val="auto"/>
                <w:sz w:val="8"/>
                <w:szCs w:val="8"/>
                <w:u w:val="single"/>
              </w:rPr>
            </w:pPr>
          </w:p>
          <w:p w14:paraId="0F812ABA" w14:textId="77777777" w:rsidR="007D149C" w:rsidRPr="00495B02" w:rsidRDefault="007D149C" w:rsidP="004F4BCF">
            <w:pPr>
              <w:pStyle w:val="Estilo3"/>
              <w:numPr>
                <w:ilvl w:val="0"/>
                <w:numId w:val="0"/>
              </w:numPr>
              <w:ind w:left="170" w:right="-135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Comparar a evolução do comportamento de diferentes variáveis demográficas, recolhendo e selecionando informação estatística e apresentando conclusões.</w:t>
            </w:r>
          </w:p>
          <w:p w14:paraId="6950E29B" w14:textId="77777777" w:rsidR="007D149C" w:rsidRPr="00495B02" w:rsidRDefault="007D149C" w:rsidP="004F4BCF">
            <w:pPr>
              <w:pStyle w:val="Estilo3"/>
              <w:numPr>
                <w:ilvl w:val="0"/>
                <w:numId w:val="0"/>
              </w:numPr>
              <w:spacing w:before="80" w:line="240" w:lineRule="auto"/>
              <w:ind w:left="170" w:right="-135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Identificar padrões de distribuição de variáveis demográficas e suas causas próximas, utilizando mapas a diferentes escalas.</w:t>
            </w:r>
          </w:p>
          <w:p w14:paraId="5F12479F" w14:textId="77777777" w:rsidR="007D149C" w:rsidRPr="00495B02" w:rsidRDefault="007D149C" w:rsidP="004F4BCF">
            <w:pPr>
              <w:pStyle w:val="Estilo3"/>
              <w:numPr>
                <w:ilvl w:val="0"/>
                <w:numId w:val="0"/>
              </w:numPr>
              <w:spacing w:before="80" w:line="240" w:lineRule="auto"/>
              <w:ind w:left="170" w:right="-135"/>
              <w:rPr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Aplicar as TIG, para localizar, descrever e compreender os processos demográficos</w:t>
            </w:r>
            <w:r w:rsidRPr="00495B02">
              <w:rPr>
                <w:color w:val="auto"/>
              </w:rPr>
              <w:t>.</w:t>
            </w:r>
          </w:p>
          <w:p w14:paraId="6EB7B744" w14:textId="77777777" w:rsidR="007D149C" w:rsidRPr="00495B02" w:rsidRDefault="007D149C" w:rsidP="004F4BCF">
            <w:pPr>
              <w:ind w:right="-135"/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</w:pPr>
          </w:p>
          <w:p w14:paraId="1D877C5F" w14:textId="43C4C49E" w:rsidR="000E6BE1" w:rsidRPr="00495B02" w:rsidRDefault="000E6BE1" w:rsidP="004F4BCF">
            <w:pPr>
              <w:ind w:right="-135"/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</w:pPr>
            <w:r w:rsidRPr="00495B02"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  <w:t>PROBLEMATIZAR AS INTER-RELAÇÕES ENTRE FENÓMENOS E ESPAÇOS GEOGRÁFICOS</w:t>
            </w:r>
          </w:p>
          <w:p w14:paraId="1EE3F461" w14:textId="77777777" w:rsidR="00415E9F" w:rsidRPr="00495B02" w:rsidRDefault="00415E9F" w:rsidP="004F4BCF">
            <w:pPr>
              <w:tabs>
                <w:tab w:val="left" w:pos="708"/>
              </w:tabs>
              <w:spacing w:before="80"/>
              <w:ind w:left="170" w:right="-135" w:hanging="170"/>
              <w:contextualSpacing/>
              <w:rPr>
                <w:rFonts w:ascii="Trebuchet MS" w:eastAsia="Times New Roman" w:hAnsi="Trebuchet MS" w:cs="Arial"/>
                <w:color w:val="auto"/>
                <w:sz w:val="10"/>
                <w:szCs w:val="10"/>
                <w:lang w:eastAsia="en-US"/>
              </w:rPr>
            </w:pPr>
          </w:p>
          <w:p w14:paraId="13A60771" w14:textId="74C9D619" w:rsidR="00415E9F" w:rsidRPr="00495B02" w:rsidRDefault="00415E9F" w:rsidP="004F4BCF">
            <w:pPr>
              <w:tabs>
                <w:tab w:val="left" w:pos="708"/>
              </w:tabs>
              <w:spacing w:before="80"/>
              <w:ind w:left="170" w:right="-135" w:firstLine="8"/>
              <w:contextualSpacing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 w:rsidRPr="00495B02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Referir medidas concretas para minimizar o envelhecimento da população portuguesa.</w:t>
            </w:r>
          </w:p>
          <w:p w14:paraId="1F7D0787" w14:textId="77777777" w:rsidR="00415E9F" w:rsidRPr="00495B02" w:rsidRDefault="00415E9F" w:rsidP="004F4BCF">
            <w:pPr>
              <w:tabs>
                <w:tab w:val="left" w:pos="708"/>
              </w:tabs>
              <w:spacing w:before="80"/>
              <w:ind w:left="170" w:right="-135" w:firstLine="8"/>
              <w:contextualSpacing/>
              <w:rPr>
                <w:rFonts w:ascii="Trebuchet MS" w:eastAsia="Times New Roman" w:hAnsi="Trebuchet MS" w:cs="Arial"/>
                <w:color w:val="auto"/>
                <w:sz w:val="10"/>
                <w:szCs w:val="10"/>
                <w:lang w:eastAsia="en-US"/>
              </w:rPr>
            </w:pPr>
          </w:p>
          <w:p w14:paraId="35F88DD5" w14:textId="07D86B80" w:rsidR="000E6BE1" w:rsidRPr="00495B02" w:rsidRDefault="000E6BE1" w:rsidP="004F4BCF">
            <w:pPr>
              <w:ind w:left="10" w:right="-135" w:hanging="10"/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</w:pPr>
            <w:r w:rsidRPr="00495B02"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COMUNICAR </w:t>
            </w:r>
          </w:p>
          <w:p w14:paraId="0155A951" w14:textId="180147AE" w:rsidR="00E26636" w:rsidRPr="00495B02" w:rsidRDefault="00415E9F" w:rsidP="004F4BCF">
            <w:pPr>
              <w:autoSpaceDE w:val="0"/>
              <w:autoSpaceDN w:val="0"/>
              <w:adjustRightInd w:val="0"/>
              <w:spacing w:before="120" w:after="120"/>
              <w:ind w:left="177" w:right="-135"/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</w:pPr>
            <w:r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Referir medidas que possam ter efeito nas estruturas e</w:t>
            </w:r>
            <w:r w:rsidR="00B865F0"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 xml:space="preserve"> nos</w:t>
            </w:r>
            <w:r w:rsidRPr="00495B02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 xml:space="preserve"> comportamentos demográficos da população no território português.</w:t>
            </w:r>
          </w:p>
          <w:p w14:paraId="71FD2CB3" w14:textId="77777777" w:rsidR="00495B02" w:rsidRPr="00495B02" w:rsidRDefault="00495B02" w:rsidP="004F4BCF">
            <w:pPr>
              <w:autoSpaceDE w:val="0"/>
              <w:autoSpaceDN w:val="0"/>
              <w:adjustRightInd w:val="0"/>
              <w:spacing w:before="120" w:after="120"/>
              <w:ind w:left="177" w:right="-135" w:hanging="177"/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</w:pPr>
          </w:p>
          <w:p w14:paraId="32303DD0" w14:textId="5C7790DC" w:rsidR="00E26636" w:rsidRPr="00495B02" w:rsidRDefault="00E26636" w:rsidP="004F4BCF">
            <w:pPr>
              <w:autoSpaceDE w:val="0"/>
              <w:autoSpaceDN w:val="0"/>
              <w:adjustRightInd w:val="0"/>
              <w:spacing w:before="120" w:after="120"/>
              <w:ind w:left="177" w:right="-135" w:hanging="177"/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</w:pPr>
            <w:r w:rsidRPr="00495B02">
              <w:rPr>
                <w:rFonts w:ascii="Trebuchet MS" w:eastAsiaTheme="minorEastAsia" w:hAnsi="Trebuchet MS" w:cs="Trebuchet MS"/>
                <w:b/>
                <w:color w:val="auto"/>
                <w:sz w:val="16"/>
                <w:szCs w:val="16"/>
                <w:u w:val="single"/>
              </w:rPr>
              <w:t>ANALISAR QUESTÕES GEOGRAFICAMENTE RELEVANTES DO ESPAÇO PORTUGUÊS</w:t>
            </w:r>
          </w:p>
          <w:p w14:paraId="2689157C" w14:textId="77777777" w:rsidR="00E26636" w:rsidRPr="00495B02" w:rsidRDefault="00E26636" w:rsidP="004F4BCF">
            <w:pPr>
              <w:pStyle w:val="Estilo3"/>
              <w:numPr>
                <w:ilvl w:val="0"/>
                <w:numId w:val="0"/>
              </w:numPr>
              <w:ind w:left="170" w:right="-135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Explicar as assimetrias regionais na distribuição da população portuguesa, evidenciando os fatores naturais e humanos que as condicionam.</w:t>
            </w:r>
          </w:p>
          <w:p w14:paraId="6E697806" w14:textId="095B92E0" w:rsidR="00225F9A" w:rsidRPr="00495B02" w:rsidRDefault="00E26636" w:rsidP="004F4BCF">
            <w:pPr>
              <w:pStyle w:val="Estilo3"/>
              <w:numPr>
                <w:ilvl w:val="0"/>
                <w:numId w:val="0"/>
              </w:numPr>
              <w:spacing w:before="80" w:line="240" w:lineRule="auto"/>
              <w:ind w:left="170" w:right="-135"/>
              <w:rPr>
                <w:rFonts w:ascii="Trebuchet MS" w:hAnsi="Trebuchet MS"/>
                <w:color w:val="auto"/>
              </w:rPr>
            </w:pPr>
            <w:r w:rsidRPr="00495B02">
              <w:rPr>
                <w:rFonts w:ascii="Trebuchet MS" w:hAnsi="Trebuchet MS"/>
                <w:color w:val="auto"/>
              </w:rPr>
              <w:t>Aplicar as TIG, para localizar, descrever e compreender os processos demográficos.</w:t>
            </w:r>
          </w:p>
          <w:p w14:paraId="191E5AD8" w14:textId="77777777" w:rsidR="00495B02" w:rsidRPr="00E26636" w:rsidRDefault="00495B02" w:rsidP="004F4BCF">
            <w:pPr>
              <w:pStyle w:val="Estilo3"/>
              <w:numPr>
                <w:ilvl w:val="0"/>
                <w:numId w:val="0"/>
              </w:numPr>
              <w:spacing w:before="80" w:line="240" w:lineRule="auto"/>
              <w:ind w:left="170" w:right="-135"/>
              <w:rPr>
                <w:rFonts w:ascii="Trebuchet MS" w:hAnsi="Trebuchet MS"/>
                <w:color w:val="auto"/>
              </w:rPr>
            </w:pPr>
          </w:p>
          <w:p w14:paraId="23BC96BB" w14:textId="77777777" w:rsidR="00225F9A" w:rsidRPr="00415E9F" w:rsidRDefault="00225F9A" w:rsidP="004F4BCF">
            <w:pPr>
              <w:ind w:right="-135"/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</w:pPr>
            <w:r w:rsidRPr="00415E9F"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  <w:t>PROBLEMATIZAR AS INTER-RELAÇÕES ENTRE FENÓMENOS E ESPAÇOS GEOGRÁFICOS</w:t>
            </w:r>
          </w:p>
          <w:p w14:paraId="63EF95F1" w14:textId="77777777" w:rsidR="00225F9A" w:rsidRPr="00225F9A" w:rsidRDefault="00225F9A" w:rsidP="004F4BCF">
            <w:pPr>
              <w:tabs>
                <w:tab w:val="left" w:pos="708"/>
              </w:tabs>
              <w:spacing w:before="80"/>
              <w:ind w:left="170" w:right="-135"/>
              <w:contextualSpacing/>
              <w:rPr>
                <w:rFonts w:ascii="Trebuchet MS" w:eastAsia="Times New Roman" w:hAnsi="Trebuchet MS" w:cs="Arial"/>
                <w:color w:val="auto"/>
                <w:sz w:val="10"/>
                <w:szCs w:val="10"/>
                <w:lang w:eastAsia="en-US"/>
              </w:rPr>
            </w:pPr>
          </w:p>
          <w:p w14:paraId="2B48655F" w14:textId="32FDE8F3" w:rsidR="00225F9A" w:rsidRDefault="00225F9A" w:rsidP="004F4BCF">
            <w:pPr>
              <w:tabs>
                <w:tab w:val="left" w:pos="708"/>
              </w:tabs>
              <w:spacing w:before="80"/>
              <w:ind w:left="170" w:right="-135"/>
              <w:contextualSpacing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  <w:r w:rsidRPr="00225F9A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Re</w:t>
            </w:r>
            <w:r w:rsidR="005F3047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>ferir</w:t>
            </w:r>
            <w:r w:rsidRPr="00225F9A"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  <w:t xml:space="preserve"> as assimetrias na distribuição da população, aplicando o conceito de capacidade de carga humana a nível local e regional.</w:t>
            </w:r>
          </w:p>
          <w:p w14:paraId="1F4CCD49" w14:textId="606C21CA" w:rsidR="00225F9A" w:rsidRDefault="00225F9A" w:rsidP="004F4BCF">
            <w:pPr>
              <w:tabs>
                <w:tab w:val="left" w:pos="708"/>
              </w:tabs>
              <w:spacing w:before="80"/>
              <w:ind w:left="170" w:right="-135"/>
              <w:contextualSpacing/>
              <w:rPr>
                <w:rFonts w:ascii="Trebuchet MS" w:eastAsia="Times New Roman" w:hAnsi="Trebuchet MS" w:cs="Arial"/>
                <w:color w:val="auto"/>
                <w:sz w:val="18"/>
                <w:szCs w:val="24"/>
                <w:lang w:eastAsia="en-US"/>
              </w:rPr>
            </w:pPr>
          </w:p>
          <w:p w14:paraId="2F592C08" w14:textId="14A0CB18" w:rsidR="00225F9A" w:rsidRPr="00225F9A" w:rsidRDefault="00225F9A" w:rsidP="004F4BCF">
            <w:pPr>
              <w:ind w:left="10" w:right="-135" w:hanging="10"/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</w:pPr>
            <w:r w:rsidRPr="00415E9F">
              <w:rPr>
                <w:rFonts w:ascii="Trebuchet MS" w:eastAsia="Times New Roman" w:hAnsi="Trebuchet MS" w:cs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COMUNICAR </w:t>
            </w:r>
          </w:p>
          <w:p w14:paraId="37268479" w14:textId="1C95A8B9" w:rsidR="00315E3E" w:rsidRPr="00225F9A" w:rsidRDefault="00225F9A" w:rsidP="004F4BCF">
            <w:pPr>
              <w:autoSpaceDE w:val="0"/>
              <w:autoSpaceDN w:val="0"/>
              <w:adjustRightInd w:val="0"/>
              <w:spacing w:before="120" w:after="120"/>
              <w:ind w:left="177" w:right="-135"/>
              <w:rPr>
                <w:rFonts w:ascii="Trebuchet MS" w:eastAsiaTheme="minorEastAsia" w:hAnsi="Trebuchet MS" w:cs="Trebuchet MS"/>
                <w:sz w:val="18"/>
                <w:szCs w:val="18"/>
              </w:rPr>
            </w:pPr>
            <w:r w:rsidRPr="00225F9A">
              <w:rPr>
                <w:rFonts w:ascii="Trebuchet MS" w:hAnsi="Trebuchet MS"/>
                <w:sz w:val="18"/>
                <w:szCs w:val="18"/>
              </w:rPr>
              <w:t>Selecionar medidas que possam ter efeito na distribuição da população no território português.</w:t>
            </w:r>
          </w:p>
        </w:tc>
        <w:tc>
          <w:tcPr>
            <w:tcW w:w="2411" w:type="dxa"/>
          </w:tcPr>
          <w:p w14:paraId="5BB4F138" w14:textId="77777777" w:rsidR="0030349D" w:rsidRPr="0030349D" w:rsidRDefault="0030349D" w:rsidP="0030349D"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lastRenderedPageBreak/>
              <w:t xml:space="preserve"> </w:t>
            </w:r>
          </w:p>
          <w:p w14:paraId="4796D453" w14:textId="77777777" w:rsidR="0030349D" w:rsidRPr="0030349D" w:rsidRDefault="0030349D" w:rsidP="00B20202">
            <w:pPr>
              <w:spacing w:line="276" w:lineRule="auto"/>
              <w:rPr>
                <w:rFonts w:ascii="Trebuchet MS" w:hAnsi="Trebuchet MS"/>
              </w:rPr>
            </w:pPr>
          </w:p>
          <w:p w14:paraId="005C4BF9" w14:textId="77777777" w:rsidR="0030349D" w:rsidRPr="0030349D" w:rsidRDefault="0030349D" w:rsidP="00B20202">
            <w:p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. Questões de  </w:t>
            </w:r>
          </w:p>
          <w:p w14:paraId="2806397D" w14:textId="77777777" w:rsidR="00EF6FB2" w:rsidRPr="0030349D" w:rsidRDefault="00EF6FB2" w:rsidP="00EF6FB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Escolha múltipla </w:t>
            </w:r>
          </w:p>
          <w:p w14:paraId="6FDB3E6F" w14:textId="32E5B3A4" w:rsidR="0030349D" w:rsidRPr="0030349D" w:rsidRDefault="00EF6FB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Correspondência</w:t>
            </w:r>
          </w:p>
          <w:p w14:paraId="48F72442" w14:textId="77777777" w:rsidR="0030349D" w:rsidRPr="0030349D" w:rsidRDefault="0030349D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Associação  </w:t>
            </w:r>
          </w:p>
          <w:p w14:paraId="2EEACA59" w14:textId="77777777" w:rsidR="00EF6FB2" w:rsidRPr="00EF6FB2" w:rsidRDefault="0030349D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>Verdadeiras/falsas</w:t>
            </w:r>
          </w:p>
          <w:p w14:paraId="1F36E8E3" w14:textId="31296908" w:rsidR="0030349D" w:rsidRPr="0030349D" w:rsidRDefault="00EF6FB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Completação  </w:t>
            </w:r>
          </w:p>
          <w:p w14:paraId="18911F0A" w14:textId="77777777" w:rsidR="0030349D" w:rsidRPr="0030349D" w:rsidRDefault="0030349D" w:rsidP="00B20202">
            <w:pPr>
              <w:spacing w:line="276" w:lineRule="auto"/>
              <w:ind w:left="108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12607C8E" w14:textId="77777777" w:rsidR="0030349D" w:rsidRPr="0030349D" w:rsidRDefault="0030349D" w:rsidP="0030349D">
            <w:pPr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A9716B9" w14:textId="77777777" w:rsidR="0030349D" w:rsidRPr="0030349D" w:rsidRDefault="0030349D" w:rsidP="00B20202">
            <w:pPr>
              <w:spacing w:after="10"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EBFF076" w14:textId="2F2FADE7" w:rsidR="00B20202" w:rsidRPr="0030349D" w:rsidRDefault="00D60E83" w:rsidP="00B20202">
            <w:pPr>
              <w:spacing w:line="276" w:lineRule="auto"/>
              <w:ind w:left="29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. </w:t>
            </w:r>
            <w:r w:rsidR="0030349D" w:rsidRPr="0030349D">
              <w:rPr>
                <w:rFonts w:ascii="Trebuchet MS" w:eastAsia="Trebuchet MS" w:hAnsi="Trebuchet MS" w:cs="Trebuchet MS"/>
                <w:sz w:val="20"/>
              </w:rPr>
              <w:t xml:space="preserve">Questões de </w:t>
            </w:r>
            <w:r w:rsidR="00B20202">
              <w:rPr>
                <w:rFonts w:ascii="Trebuchet MS" w:eastAsia="Trebuchet MS" w:hAnsi="Trebuchet MS" w:cs="Trebuchet MS"/>
                <w:sz w:val="20"/>
              </w:rPr>
              <w:t>construção</w:t>
            </w:r>
          </w:p>
          <w:p w14:paraId="0478D4E2" w14:textId="0D7363E3" w:rsidR="00B20202" w:rsidRPr="0030349D" w:rsidRDefault="00B20202" w:rsidP="00B20202">
            <w:pPr>
              <w:numPr>
                <w:ilvl w:val="0"/>
                <w:numId w:val="9"/>
              </w:numPr>
              <w:spacing w:after="11"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Resposta curta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  <w:p w14:paraId="2A8B98CD" w14:textId="65FDC979" w:rsidR="00B20202" w:rsidRPr="0030349D" w:rsidRDefault="00B20202" w:rsidP="00B20202">
            <w:pPr>
              <w:numPr>
                <w:ilvl w:val="0"/>
                <w:numId w:val="9"/>
              </w:numPr>
              <w:spacing w:after="13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Pr="00DB050D">
              <w:rPr>
                <w:rFonts w:ascii="Trebuchet MS" w:hAnsi="Trebuchet MS"/>
              </w:rPr>
              <w:t>esposta restrita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871BAE0" w14:textId="61674A09" w:rsidR="00B20202" w:rsidRPr="0030349D" w:rsidRDefault="00B20202" w:rsidP="00B20202">
            <w:pPr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</w:rPr>
            </w:pP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Desenvolvimento </w:t>
            </w:r>
          </w:p>
          <w:p w14:paraId="530C5B96" w14:textId="2FD80B6E" w:rsidR="0030349D" w:rsidRPr="0030349D" w:rsidRDefault="0030349D" w:rsidP="00D37E8E">
            <w:pPr>
              <w:spacing w:line="276" w:lineRule="auto"/>
              <w:ind w:left="29"/>
            </w:pPr>
          </w:p>
        </w:tc>
        <w:tc>
          <w:tcPr>
            <w:tcW w:w="1196" w:type="dxa"/>
          </w:tcPr>
          <w:p w14:paraId="1C22594B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CC856E1" w14:textId="77777777" w:rsidR="0030349D" w:rsidRPr="0030349D" w:rsidRDefault="0030349D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2E50BC5B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1DADF981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150CB1E" w14:textId="77777777" w:rsidR="00B20202" w:rsidRDefault="00B20202" w:rsidP="0030349D">
            <w:pPr>
              <w:ind w:left="6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5CB9DE43" w14:textId="6BEF3470" w:rsidR="0030349D" w:rsidRPr="0030349D" w:rsidRDefault="001E56B5" w:rsidP="0030349D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</w:t>
            </w:r>
            <w:r w:rsidR="0030349D" w:rsidRPr="0030349D">
              <w:rPr>
                <w:rFonts w:ascii="Trebuchet MS" w:eastAsia="Trebuchet MS" w:hAnsi="Trebuchet MS" w:cs="Trebuchet MS"/>
                <w:b/>
                <w:sz w:val="20"/>
              </w:rPr>
              <w:t>20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 xml:space="preserve"> pontos</w:t>
            </w:r>
          </w:p>
          <w:p w14:paraId="6190992A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350BE86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BA9BB20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7C87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955F90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0240672E" w14:textId="77777777" w:rsidR="0030349D" w:rsidRPr="0030349D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4E0390CB" w14:textId="77777777" w:rsidR="0030349D" w:rsidRPr="0030349D" w:rsidRDefault="0030349D" w:rsidP="0030349D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79D6ADC9" w14:textId="77777777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2238194" w14:textId="6DAF82DA" w:rsidR="0030349D" w:rsidRPr="0079105C" w:rsidRDefault="0030349D" w:rsidP="0030349D">
            <w:pPr>
              <w:ind w:left="4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80</w:t>
            </w:r>
            <w:r w:rsidR="0079105C" w:rsidRPr="0079105C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14:paraId="3BD5E364" w14:textId="06CBF7EA" w:rsidR="0079105C" w:rsidRPr="0030349D" w:rsidRDefault="0079105C" w:rsidP="0030349D">
            <w:pPr>
              <w:ind w:left="4"/>
              <w:jc w:val="center"/>
            </w:pPr>
            <w:r w:rsidRPr="0079105C">
              <w:rPr>
                <w:rFonts w:ascii="Trebuchet MS" w:hAnsi="Trebuchet MS"/>
                <w:sz w:val="20"/>
                <w:szCs w:val="20"/>
              </w:rPr>
              <w:t>pontos</w:t>
            </w:r>
          </w:p>
        </w:tc>
      </w:tr>
      <w:tr w:rsidR="0030349D" w:rsidRPr="0030349D" w14:paraId="7C0ECD26" w14:textId="77777777" w:rsidTr="004F4BCF">
        <w:trPr>
          <w:trHeight w:val="210"/>
        </w:trPr>
        <w:tc>
          <w:tcPr>
            <w:tcW w:w="5245" w:type="dxa"/>
          </w:tcPr>
          <w:p w14:paraId="582968E5" w14:textId="563243FD" w:rsidR="0030349D" w:rsidRPr="0030349D" w:rsidRDefault="0030349D" w:rsidP="0079105C"/>
        </w:tc>
        <w:tc>
          <w:tcPr>
            <w:tcW w:w="6662" w:type="dxa"/>
          </w:tcPr>
          <w:p w14:paraId="47A9EE3C" w14:textId="77777777" w:rsidR="0030349D" w:rsidRPr="0030349D" w:rsidRDefault="0030349D" w:rsidP="0030349D"/>
        </w:tc>
        <w:tc>
          <w:tcPr>
            <w:tcW w:w="3607" w:type="dxa"/>
            <w:gridSpan w:val="2"/>
          </w:tcPr>
          <w:p w14:paraId="5D2553DA" w14:textId="46BF364D" w:rsidR="0030349D" w:rsidRPr="0030349D" w:rsidRDefault="0030349D" w:rsidP="0030349D">
            <w:pPr>
              <w:ind w:left="4"/>
              <w:jc w:val="center"/>
            </w:pP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</w:t>
            </w:r>
            <w:r w:rsidR="00815309">
              <w:rPr>
                <w:rFonts w:ascii="Trebuchet MS" w:eastAsia="Trebuchet MS" w:hAnsi="Trebuchet MS" w:cs="Trebuchet MS"/>
                <w:b/>
                <w:sz w:val="20"/>
              </w:rPr>
              <w:t xml:space="preserve">   </w:t>
            </w:r>
            <w:r w:rsidR="00E26636">
              <w:rPr>
                <w:rFonts w:ascii="Trebuchet MS" w:eastAsia="Trebuchet MS" w:hAnsi="Trebuchet MS" w:cs="Trebuchet MS"/>
                <w:b/>
                <w:sz w:val="20"/>
              </w:rPr>
              <w:t xml:space="preserve">   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Total da cotação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</w:t>
            </w:r>
            <w:r w:rsidR="0079105C">
              <w:rPr>
                <w:rFonts w:ascii="Trebuchet MS" w:eastAsia="Trebuchet MS" w:hAnsi="Trebuchet MS" w:cs="Trebuchet MS"/>
                <w:b/>
                <w:sz w:val="20"/>
              </w:rPr>
              <w:t>200 pontos</w:t>
            </w:r>
            <w:r w:rsidRPr="0030349D"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                </w:t>
            </w:r>
            <w:r w:rsidRPr="0030349D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D37E8E" w:rsidRPr="0030349D" w14:paraId="1EDA3A4B" w14:textId="77777777" w:rsidTr="004F4BCF">
        <w:trPr>
          <w:trHeight w:val="595"/>
        </w:trPr>
        <w:tc>
          <w:tcPr>
            <w:tcW w:w="5245" w:type="dxa"/>
            <w:vAlign w:val="center"/>
          </w:tcPr>
          <w:p w14:paraId="5EE12DC7" w14:textId="1C7622FA" w:rsidR="00D37E8E" w:rsidRPr="00D37E8E" w:rsidRDefault="00D37E8E" w:rsidP="00E2663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37E8E">
              <w:rPr>
                <w:rFonts w:ascii="Trebuchet MS" w:eastAsia="Trebuchet MS" w:hAnsi="Trebuchet MS" w:cs="Trebuchet MS"/>
                <w:sz w:val="20"/>
                <w:szCs w:val="20"/>
              </w:rPr>
              <w:t>Critérios gerais de classificação</w:t>
            </w:r>
          </w:p>
        </w:tc>
        <w:tc>
          <w:tcPr>
            <w:tcW w:w="10269" w:type="dxa"/>
            <w:gridSpan w:val="3"/>
          </w:tcPr>
          <w:p w14:paraId="220B1967" w14:textId="0E5FD071" w:rsidR="00D37E8E" w:rsidRPr="00715FBA" w:rsidRDefault="00D37E8E" w:rsidP="0030349D">
            <w:pPr>
              <w:rPr>
                <w:rFonts w:ascii="Trebuchet MS" w:hAnsi="Trebuchet MS"/>
                <w:sz w:val="18"/>
                <w:szCs w:val="18"/>
              </w:rPr>
            </w:pPr>
            <w:r w:rsidRPr="00715FBA">
              <w:rPr>
                <w:rFonts w:ascii="Trebuchet MS" w:hAnsi="Trebuchet MS"/>
                <w:sz w:val="18"/>
                <w:szCs w:val="18"/>
              </w:rPr>
              <w:t>Nos itens de resposta extensa, os critérios de classificação apresentam-se organizados por parâmetros: (A) Conteúdo e Linguagem científica e (B) Comunicação.</w:t>
            </w:r>
          </w:p>
        </w:tc>
      </w:tr>
    </w:tbl>
    <w:p w14:paraId="1EB73619" w14:textId="3C8FBE2D" w:rsidR="0030349D" w:rsidRDefault="0030349D">
      <w:pPr>
        <w:spacing w:after="0"/>
        <w:ind w:left="4"/>
        <w:jc w:val="center"/>
        <w:rPr>
          <w:rFonts w:ascii="Trebuchet MS" w:eastAsia="Trebuchet MS" w:hAnsi="Trebuchet MS" w:cs="Trebuchet MS"/>
          <w:sz w:val="10"/>
          <w:szCs w:val="10"/>
        </w:rPr>
      </w:pPr>
    </w:p>
    <w:p w14:paraId="717F968B" w14:textId="77777777" w:rsidR="00495B02" w:rsidRPr="00B20202" w:rsidRDefault="00495B02">
      <w:pPr>
        <w:spacing w:after="0"/>
        <w:ind w:left="4"/>
        <w:jc w:val="center"/>
        <w:rPr>
          <w:rFonts w:ascii="Trebuchet MS" w:eastAsia="Trebuchet MS" w:hAnsi="Trebuchet MS" w:cs="Trebuchet MS"/>
          <w:sz w:val="10"/>
          <w:szCs w:val="10"/>
        </w:rPr>
      </w:pPr>
    </w:p>
    <w:p w14:paraId="22481433" w14:textId="77777777" w:rsidR="00BE5AD8" w:rsidRDefault="00F379F9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50D18159" wp14:editId="105C0E13">
                <wp:extent cx="9817608" cy="54864"/>
                <wp:effectExtent l="0" t="0" r="0" b="0"/>
                <wp:docPr id="7779" name="Group 7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54864"/>
                          <a:chOff x="0" y="0"/>
                          <a:chExt cx="9817608" cy="54864"/>
                        </a:xfrm>
                      </wpg:grpSpPr>
                      <wps:wsp>
                        <wps:cNvPr id="8088" name="Shape 8088"/>
                        <wps:cNvSpPr/>
                        <wps:spPr>
                          <a:xfrm>
                            <a:off x="0" y="0"/>
                            <a:ext cx="98176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36576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0" y="4572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9" style="width:773.04pt;height:4.32001pt;mso-position-horizontal-relative:char;mso-position-vertical-relative:line" coordsize="98176,548">
                <v:shape id="Shape 8090" style="position:absolute;width:98176;height:365;left:0;top:0;" coordsize="9817608,36576" path="m0,0l9817608,0l9817608,36576l0,36576l0,0">
                  <v:stroke weight="0pt" endcap="flat" joinstyle="miter" miterlimit="10" on="false" color="#000000" opacity="0"/>
                  <v:fill on="true" color="#622423"/>
                </v:shape>
                <v:shape id="Shape 8091" style="position:absolute;width:98176;height:91;left:0;top:457;" coordsize="9817608,9144" path="m0,0l9817608,0l9817608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423BB7BA" w14:textId="02A70A66" w:rsidR="00BE5AD8" w:rsidRPr="00B20202" w:rsidRDefault="00F379F9">
      <w:pPr>
        <w:tabs>
          <w:tab w:val="right" w:pos="15406"/>
        </w:tabs>
        <w:spacing w:after="30"/>
        <w:ind w:left="-15" w:right="-15"/>
        <w:rPr>
          <w:rFonts w:ascii="Trebuchet MS" w:hAnsi="Trebuchet MS"/>
          <w:sz w:val="20"/>
          <w:szCs w:val="20"/>
        </w:rPr>
      </w:pPr>
      <w:r w:rsidRPr="00B20202">
        <w:rPr>
          <w:rFonts w:ascii="Trebuchet MS" w:eastAsia="Cambria" w:hAnsi="Trebuchet MS" w:cs="Cambria"/>
          <w:sz w:val="20"/>
          <w:szCs w:val="20"/>
        </w:rPr>
        <w:t xml:space="preserve">Escola Secundária D. Pedro V – Matriz do Exame de </w:t>
      </w:r>
      <w:r w:rsidR="00B20202" w:rsidRPr="00B20202">
        <w:rPr>
          <w:rFonts w:ascii="Trebuchet MS" w:eastAsia="Cambria" w:hAnsi="Trebuchet MS" w:cs="Cambria"/>
          <w:sz w:val="20"/>
          <w:szCs w:val="20"/>
        </w:rPr>
        <w:t>Geografia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: Módulo </w:t>
      </w:r>
      <w:r w:rsidR="008F64CF">
        <w:rPr>
          <w:rFonts w:ascii="Trebuchet MS" w:eastAsia="Cambria" w:hAnsi="Trebuchet MS" w:cs="Cambria"/>
          <w:sz w:val="20"/>
          <w:szCs w:val="20"/>
        </w:rPr>
        <w:t>1</w:t>
      </w:r>
      <w:r w:rsidRPr="00B20202">
        <w:rPr>
          <w:rFonts w:ascii="Trebuchet MS" w:eastAsia="Cambria" w:hAnsi="Trebuchet MS" w:cs="Cambria"/>
          <w:sz w:val="20"/>
          <w:szCs w:val="20"/>
        </w:rPr>
        <w:t xml:space="preserve"> </w:t>
      </w:r>
    </w:p>
    <w:sectPr w:rsidR="00BE5AD8" w:rsidRPr="00B20202" w:rsidSect="00E26636">
      <w:pgSz w:w="16838" w:h="11904" w:orient="landscape"/>
      <w:pgMar w:top="709" w:right="713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3F"/>
    <w:multiLevelType w:val="hybridMultilevel"/>
    <w:tmpl w:val="FFBA4C02"/>
    <w:lvl w:ilvl="0" w:tplc="8070AE7A">
      <w:start w:val="1"/>
      <w:numFmt w:val="decimal"/>
      <w:lvlText w:val="%1."/>
      <w:lvlJc w:val="left"/>
      <w:pPr>
        <w:ind w:left="43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412BE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4E8DC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6CE26">
      <w:start w:val="1"/>
      <w:numFmt w:val="bullet"/>
      <w:lvlText w:val="•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C6FB8">
      <w:start w:val="1"/>
      <w:numFmt w:val="bullet"/>
      <w:lvlText w:val="o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072AA">
      <w:start w:val="1"/>
      <w:numFmt w:val="bullet"/>
      <w:lvlText w:val="▪"/>
      <w:lvlJc w:val="left"/>
      <w:pPr>
        <w:ind w:left="3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B9F2">
      <w:start w:val="1"/>
      <w:numFmt w:val="bullet"/>
      <w:lvlText w:val="•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9E96">
      <w:start w:val="1"/>
      <w:numFmt w:val="bullet"/>
      <w:lvlText w:val="o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8FE66">
      <w:start w:val="1"/>
      <w:numFmt w:val="bullet"/>
      <w:lvlText w:val="▪"/>
      <w:lvlJc w:val="left"/>
      <w:pPr>
        <w:ind w:left="5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62C53"/>
    <w:multiLevelType w:val="hybridMultilevel"/>
    <w:tmpl w:val="4D24B886"/>
    <w:lvl w:ilvl="0" w:tplc="9050E852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6368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A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2E8D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287A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935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87B5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674C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AF02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E2BB3"/>
    <w:multiLevelType w:val="hybridMultilevel"/>
    <w:tmpl w:val="74BA8968"/>
    <w:lvl w:ilvl="0" w:tplc="D280351E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8C27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6BCC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AEBE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CF0A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A5D3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603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6B4A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86B5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B24F9"/>
    <w:multiLevelType w:val="hybridMultilevel"/>
    <w:tmpl w:val="19449D78"/>
    <w:lvl w:ilvl="0" w:tplc="9B720D66">
      <w:start w:val="1"/>
      <w:numFmt w:val="bullet"/>
      <w:lvlText w:val="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8775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160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D26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A618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AB2E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4DF7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645A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E075C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355151"/>
    <w:multiLevelType w:val="hybridMultilevel"/>
    <w:tmpl w:val="28CA2CD8"/>
    <w:lvl w:ilvl="0" w:tplc="B57261FA">
      <w:start w:val="1"/>
      <w:numFmt w:val="bullet"/>
      <w:pStyle w:val="Estilo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DBD"/>
    <w:multiLevelType w:val="hybridMultilevel"/>
    <w:tmpl w:val="42CA9D4E"/>
    <w:lvl w:ilvl="0" w:tplc="5630E13E">
      <w:start w:val="1"/>
      <w:numFmt w:val="bullet"/>
      <w:lvlText w:val="•"/>
      <w:lvlJc w:val="left"/>
      <w:pPr>
        <w:ind w:left="2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0D646">
      <w:start w:val="1"/>
      <w:numFmt w:val="bullet"/>
      <w:lvlText w:val="o"/>
      <w:lvlJc w:val="left"/>
      <w:pPr>
        <w:ind w:left="11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A208C">
      <w:start w:val="1"/>
      <w:numFmt w:val="bullet"/>
      <w:lvlText w:val="▪"/>
      <w:lvlJc w:val="left"/>
      <w:pPr>
        <w:ind w:left="19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EDD70">
      <w:start w:val="1"/>
      <w:numFmt w:val="bullet"/>
      <w:lvlText w:val="•"/>
      <w:lvlJc w:val="left"/>
      <w:pPr>
        <w:ind w:left="2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8D940">
      <w:start w:val="1"/>
      <w:numFmt w:val="bullet"/>
      <w:lvlText w:val="o"/>
      <w:lvlJc w:val="left"/>
      <w:pPr>
        <w:ind w:left="33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0B966">
      <w:start w:val="1"/>
      <w:numFmt w:val="bullet"/>
      <w:lvlText w:val="▪"/>
      <w:lvlJc w:val="left"/>
      <w:pPr>
        <w:ind w:left="40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40514">
      <w:start w:val="1"/>
      <w:numFmt w:val="bullet"/>
      <w:lvlText w:val="•"/>
      <w:lvlJc w:val="left"/>
      <w:pPr>
        <w:ind w:left="47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A1EF4">
      <w:start w:val="1"/>
      <w:numFmt w:val="bullet"/>
      <w:lvlText w:val="o"/>
      <w:lvlJc w:val="left"/>
      <w:pPr>
        <w:ind w:left="55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B5E8">
      <w:start w:val="1"/>
      <w:numFmt w:val="bullet"/>
      <w:lvlText w:val="▪"/>
      <w:lvlJc w:val="left"/>
      <w:pPr>
        <w:ind w:left="62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8F3998"/>
    <w:multiLevelType w:val="multilevel"/>
    <w:tmpl w:val="58C86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D6859AD"/>
    <w:multiLevelType w:val="hybridMultilevel"/>
    <w:tmpl w:val="212C1B62"/>
    <w:lvl w:ilvl="0" w:tplc="F2F2F848">
      <w:start w:val="3"/>
      <w:numFmt w:val="decimal"/>
      <w:lvlText w:val="%1."/>
      <w:lvlJc w:val="left"/>
      <w:pPr>
        <w:ind w:left="3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CD620">
      <w:start w:val="1"/>
      <w:numFmt w:val="lowerLetter"/>
      <w:lvlText w:val="%2"/>
      <w:lvlJc w:val="left"/>
      <w:pPr>
        <w:ind w:left="11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05030">
      <w:start w:val="1"/>
      <w:numFmt w:val="lowerRoman"/>
      <w:lvlText w:val="%3"/>
      <w:lvlJc w:val="left"/>
      <w:pPr>
        <w:ind w:left="19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C56CC">
      <w:start w:val="1"/>
      <w:numFmt w:val="decimal"/>
      <w:lvlText w:val="%4"/>
      <w:lvlJc w:val="left"/>
      <w:pPr>
        <w:ind w:left="26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E30C">
      <w:start w:val="1"/>
      <w:numFmt w:val="lowerLetter"/>
      <w:lvlText w:val="%5"/>
      <w:lvlJc w:val="left"/>
      <w:pPr>
        <w:ind w:left="3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26226">
      <w:start w:val="1"/>
      <w:numFmt w:val="lowerRoman"/>
      <w:lvlText w:val="%6"/>
      <w:lvlJc w:val="left"/>
      <w:pPr>
        <w:ind w:left="4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8DF0">
      <w:start w:val="1"/>
      <w:numFmt w:val="decimal"/>
      <w:lvlText w:val="%7"/>
      <w:lvlJc w:val="left"/>
      <w:pPr>
        <w:ind w:left="4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4A424">
      <w:start w:val="1"/>
      <w:numFmt w:val="lowerLetter"/>
      <w:lvlText w:val="%8"/>
      <w:lvlJc w:val="left"/>
      <w:pPr>
        <w:ind w:left="5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84068">
      <w:start w:val="1"/>
      <w:numFmt w:val="lowerRoman"/>
      <w:lvlText w:val="%9"/>
      <w:lvlJc w:val="left"/>
      <w:pPr>
        <w:ind w:left="6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40308"/>
    <w:multiLevelType w:val="hybridMultilevel"/>
    <w:tmpl w:val="0EB6C30E"/>
    <w:lvl w:ilvl="0" w:tplc="74C87830">
      <w:start w:val="1"/>
      <w:numFmt w:val="bullet"/>
      <w:lvlText w:val=""/>
      <w:lvlJc w:val="left"/>
      <w:pPr>
        <w:ind w:left="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6E15E">
      <w:start w:val="1"/>
      <w:numFmt w:val="bullet"/>
      <w:lvlText w:val="o"/>
      <w:lvlJc w:val="left"/>
      <w:pPr>
        <w:ind w:left="1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61092">
      <w:start w:val="1"/>
      <w:numFmt w:val="bullet"/>
      <w:lvlText w:val="▪"/>
      <w:lvlJc w:val="left"/>
      <w:pPr>
        <w:ind w:left="20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E7D32">
      <w:start w:val="1"/>
      <w:numFmt w:val="bullet"/>
      <w:lvlText w:val="•"/>
      <w:lvlJc w:val="left"/>
      <w:pPr>
        <w:ind w:left="27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CFEDE">
      <w:start w:val="1"/>
      <w:numFmt w:val="bullet"/>
      <w:lvlText w:val="o"/>
      <w:lvlJc w:val="left"/>
      <w:pPr>
        <w:ind w:left="34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2D7F6">
      <w:start w:val="1"/>
      <w:numFmt w:val="bullet"/>
      <w:lvlText w:val="▪"/>
      <w:lvlJc w:val="left"/>
      <w:pPr>
        <w:ind w:left="4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A1826">
      <w:start w:val="1"/>
      <w:numFmt w:val="bullet"/>
      <w:lvlText w:val="•"/>
      <w:lvlJc w:val="left"/>
      <w:pPr>
        <w:ind w:left="49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2B6">
      <w:start w:val="1"/>
      <w:numFmt w:val="bullet"/>
      <w:lvlText w:val="o"/>
      <w:lvlJc w:val="left"/>
      <w:pPr>
        <w:ind w:left="56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C2136">
      <w:start w:val="1"/>
      <w:numFmt w:val="bullet"/>
      <w:lvlText w:val="▪"/>
      <w:lvlJc w:val="left"/>
      <w:pPr>
        <w:ind w:left="63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D67571"/>
    <w:multiLevelType w:val="hybridMultilevel"/>
    <w:tmpl w:val="83189184"/>
    <w:lvl w:ilvl="0" w:tplc="EAEE63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211F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EA86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0CD3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0D43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504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64D5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9E920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AB23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131860"/>
    <w:multiLevelType w:val="hybridMultilevel"/>
    <w:tmpl w:val="B37E6554"/>
    <w:lvl w:ilvl="0" w:tplc="AF8C177E">
      <w:start w:val="1"/>
      <w:numFmt w:val="decimal"/>
      <w:lvlText w:val="%1."/>
      <w:lvlJc w:val="left"/>
      <w:pPr>
        <w:ind w:left="2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E86EE">
      <w:start w:val="1"/>
      <w:numFmt w:val="lowerLetter"/>
      <w:lvlText w:val="%2"/>
      <w:lvlJc w:val="left"/>
      <w:pPr>
        <w:ind w:left="11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47D3C">
      <w:start w:val="1"/>
      <w:numFmt w:val="lowerRoman"/>
      <w:lvlText w:val="%3"/>
      <w:lvlJc w:val="left"/>
      <w:pPr>
        <w:ind w:left="19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E2022">
      <w:start w:val="1"/>
      <w:numFmt w:val="decimal"/>
      <w:lvlText w:val="%4"/>
      <w:lvlJc w:val="left"/>
      <w:pPr>
        <w:ind w:left="26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E632E">
      <w:start w:val="1"/>
      <w:numFmt w:val="lowerLetter"/>
      <w:lvlText w:val="%5"/>
      <w:lvlJc w:val="left"/>
      <w:pPr>
        <w:ind w:left="334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E4526">
      <w:start w:val="1"/>
      <w:numFmt w:val="lowerRoman"/>
      <w:lvlText w:val="%6"/>
      <w:lvlJc w:val="left"/>
      <w:pPr>
        <w:ind w:left="406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89040">
      <w:start w:val="1"/>
      <w:numFmt w:val="decimal"/>
      <w:lvlText w:val="%7"/>
      <w:lvlJc w:val="left"/>
      <w:pPr>
        <w:ind w:left="478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3F2">
      <w:start w:val="1"/>
      <w:numFmt w:val="lowerLetter"/>
      <w:lvlText w:val="%8"/>
      <w:lvlJc w:val="left"/>
      <w:pPr>
        <w:ind w:left="550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E98F2">
      <w:start w:val="1"/>
      <w:numFmt w:val="lowerRoman"/>
      <w:lvlText w:val="%9"/>
      <w:lvlJc w:val="left"/>
      <w:pPr>
        <w:ind w:left="622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D8"/>
    <w:rsid w:val="000E6BE1"/>
    <w:rsid w:val="001D2546"/>
    <w:rsid w:val="001E56B5"/>
    <w:rsid w:val="00225F9A"/>
    <w:rsid w:val="002A5AD0"/>
    <w:rsid w:val="0030349D"/>
    <w:rsid w:val="00315E3E"/>
    <w:rsid w:val="00415E9F"/>
    <w:rsid w:val="00495B02"/>
    <w:rsid w:val="004F4BCF"/>
    <w:rsid w:val="005F3047"/>
    <w:rsid w:val="0069661D"/>
    <w:rsid w:val="006A3F59"/>
    <w:rsid w:val="00715FBA"/>
    <w:rsid w:val="0079105C"/>
    <w:rsid w:val="007D149C"/>
    <w:rsid w:val="00815309"/>
    <w:rsid w:val="008F64CF"/>
    <w:rsid w:val="00A5750D"/>
    <w:rsid w:val="00AB28CF"/>
    <w:rsid w:val="00AB2E07"/>
    <w:rsid w:val="00AB32AC"/>
    <w:rsid w:val="00B20202"/>
    <w:rsid w:val="00B865F0"/>
    <w:rsid w:val="00BE5AD8"/>
    <w:rsid w:val="00D13FB5"/>
    <w:rsid w:val="00D347EB"/>
    <w:rsid w:val="00D37E8E"/>
    <w:rsid w:val="00D60E83"/>
    <w:rsid w:val="00E044EF"/>
    <w:rsid w:val="00E26636"/>
    <w:rsid w:val="00EF6FB2"/>
    <w:rsid w:val="00F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571B"/>
  <w15:docId w15:val="{9666C812-B8D3-4618-B28E-B517B88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3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3">
    <w:name w:val="Estilo3"/>
    <w:basedOn w:val="Normal"/>
    <w:qFormat/>
    <w:rsid w:val="007D149C"/>
    <w:pPr>
      <w:widowControl w:val="0"/>
      <w:numPr>
        <w:numId w:val="11"/>
      </w:numPr>
      <w:autoSpaceDE w:val="0"/>
      <w:autoSpaceDN w:val="0"/>
      <w:adjustRightInd w:val="0"/>
      <w:spacing w:after="0" w:line="220" w:lineRule="atLeast"/>
      <w:ind w:left="170" w:hanging="170"/>
    </w:pPr>
    <w:rPr>
      <w:rFonts w:ascii="Arial" w:eastAsiaTheme="minorEastAsia" w:hAnsi="Arial" w:cs="Arial"/>
      <w:color w:val="005B9C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Lobato</dc:creator>
  <cp:keywords/>
  <cp:lastModifiedBy>Maria João Lobato</cp:lastModifiedBy>
  <cp:revision>3</cp:revision>
  <dcterms:created xsi:type="dcterms:W3CDTF">2021-11-17T01:49:00Z</dcterms:created>
  <dcterms:modified xsi:type="dcterms:W3CDTF">2021-11-17T21:37:00Z</dcterms:modified>
</cp:coreProperties>
</file>