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823"/>
        <w:gridCol w:w="1644"/>
        <w:gridCol w:w="1645"/>
        <w:gridCol w:w="822"/>
        <w:gridCol w:w="2467"/>
      </w:tblGrid>
      <w:tr w:rsidR="006E6683" w14:paraId="31046D76" w14:textId="77777777" w:rsidTr="00083E45">
        <w:trPr>
          <w:jc w:val="center"/>
        </w:trPr>
        <w:tc>
          <w:tcPr>
            <w:tcW w:w="4933" w:type="dxa"/>
            <w:gridSpan w:val="3"/>
            <w:vAlign w:val="center"/>
          </w:tcPr>
          <w:p w14:paraId="424AEBF9" w14:textId="77777777" w:rsidR="006E6683" w:rsidRDefault="006E6683" w:rsidP="00083E45">
            <w:pPr>
              <w:jc w:val="center"/>
            </w:pPr>
            <w:r>
              <w:rPr>
                <w:rFonts w:ascii="Trebuchet MS" w:hAnsi="Trebuchet MS"/>
                <w:noProof/>
                <w:sz w:val="20"/>
                <w:szCs w:val="20"/>
                <w:lang w:val="en-US"/>
              </w:rPr>
              <w:drawing>
                <wp:inline distT="0" distB="0" distL="0" distR="0" wp14:anchorId="170F1F98" wp14:editId="3A3BB9CD">
                  <wp:extent cx="2155190" cy="460284"/>
                  <wp:effectExtent l="0" t="0" r="381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401" cy="461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4" w:type="dxa"/>
            <w:gridSpan w:val="3"/>
            <w:vAlign w:val="center"/>
          </w:tcPr>
          <w:p w14:paraId="4F4B778A" w14:textId="77777777" w:rsidR="006E6683" w:rsidRPr="00FA4175" w:rsidRDefault="006E6683" w:rsidP="00083E45">
            <w:pPr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r w:rsidRPr="00FA4175">
              <w:rPr>
                <w:rFonts w:ascii="Trebuchet MS" w:hAnsi="Trebuchet MS"/>
                <w:b/>
                <w:color w:val="000000"/>
                <w:sz w:val="14"/>
                <w:szCs w:val="14"/>
              </w:rPr>
              <w:t>DIREÇÃO GERAL DOS ESTABELECIMENTOS ESCOLARES</w:t>
            </w:r>
          </w:p>
          <w:p w14:paraId="1D35B8EF" w14:textId="77777777" w:rsidR="006E6683" w:rsidRDefault="006E6683" w:rsidP="00083E45">
            <w:pPr>
              <w:jc w:val="center"/>
            </w:pPr>
            <w:proofErr w:type="spellStart"/>
            <w:r w:rsidRPr="00FA4175">
              <w:rPr>
                <w:rFonts w:ascii="Trebuchet MS" w:hAnsi="Trebuchet MS"/>
                <w:b/>
                <w:color w:val="000000"/>
                <w:sz w:val="14"/>
                <w:szCs w:val="14"/>
              </w:rPr>
              <w:t>Direção</w:t>
            </w:r>
            <w:proofErr w:type="spellEnd"/>
            <w:r w:rsidRPr="00FA4175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de Serviços Região de Lisboa e Vale do Tejo</w:t>
            </w:r>
          </w:p>
        </w:tc>
      </w:tr>
      <w:tr w:rsidR="006E6683" w:rsidRPr="006E6683" w14:paraId="248E184C" w14:textId="77777777" w:rsidTr="00083E45">
        <w:trPr>
          <w:jc w:val="center"/>
        </w:trPr>
        <w:tc>
          <w:tcPr>
            <w:tcW w:w="3289" w:type="dxa"/>
            <w:gridSpan w:val="2"/>
            <w:vAlign w:val="center"/>
          </w:tcPr>
          <w:p w14:paraId="11E80A08" w14:textId="77777777" w:rsidR="006E6683" w:rsidRPr="006E6683" w:rsidRDefault="006E6683" w:rsidP="00083E45">
            <w:pPr>
              <w:jc w:val="center"/>
              <w:rPr>
                <w:rFonts w:ascii="Calibri" w:hAnsi="Calibri"/>
              </w:rPr>
            </w:pPr>
            <w:r w:rsidRPr="006E6683">
              <w:rPr>
                <w:rFonts w:ascii="Calibri" w:hAnsi="Calibri"/>
                <w:noProof/>
                <w:lang w:val="en-US"/>
              </w:rPr>
              <w:drawing>
                <wp:inline distT="0" distB="0" distL="0" distR="0" wp14:anchorId="2053AE10" wp14:editId="45496551">
                  <wp:extent cx="1717040" cy="502058"/>
                  <wp:effectExtent l="0" t="0" r="10160" b="635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040" cy="502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9" w:type="dxa"/>
            <w:gridSpan w:val="2"/>
            <w:vAlign w:val="center"/>
          </w:tcPr>
          <w:p w14:paraId="0DD5974C" w14:textId="77777777" w:rsidR="006E6683" w:rsidRPr="006E6683" w:rsidRDefault="006E6683" w:rsidP="00083E45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pt-BR"/>
              </w:rPr>
            </w:pPr>
            <w:r w:rsidRPr="006E6683">
              <w:rPr>
                <w:rFonts w:ascii="Calibri" w:hAnsi="Calibri"/>
                <w:b/>
                <w:color w:val="000000"/>
                <w:sz w:val="18"/>
                <w:szCs w:val="18"/>
                <w:lang w:val="pt-BR"/>
              </w:rPr>
              <w:t>ESCOLA SECUNDÁRIA D. PEDRO V</w:t>
            </w:r>
          </w:p>
          <w:p w14:paraId="5619EF89" w14:textId="77777777" w:rsidR="006E6683" w:rsidRPr="006E6683" w:rsidRDefault="006E6683" w:rsidP="00083E45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lang w:val="pt-BR"/>
              </w:rPr>
            </w:pPr>
          </w:p>
          <w:p w14:paraId="3C074C10" w14:textId="77777777" w:rsidR="006E6683" w:rsidRPr="006E6683" w:rsidRDefault="006E6683" w:rsidP="00083E45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lang w:val="pt-BR"/>
              </w:rPr>
            </w:pPr>
            <w:r w:rsidRPr="006E6683">
              <w:rPr>
                <w:rFonts w:ascii="Calibri" w:hAnsi="Calibri"/>
                <w:b/>
                <w:color w:val="000000"/>
                <w:sz w:val="16"/>
                <w:szCs w:val="16"/>
                <w:lang w:val="pt-BR"/>
              </w:rPr>
              <w:t>Ensino Recorrente por Módulos Capitalizáveis</w:t>
            </w:r>
          </w:p>
        </w:tc>
        <w:tc>
          <w:tcPr>
            <w:tcW w:w="3289" w:type="dxa"/>
            <w:gridSpan w:val="2"/>
            <w:vAlign w:val="center"/>
          </w:tcPr>
          <w:p w14:paraId="7EFDCDDC" w14:textId="77777777" w:rsidR="006E6683" w:rsidRPr="006E6683" w:rsidRDefault="006E6683" w:rsidP="00083E45">
            <w:pPr>
              <w:pStyle w:val="Header"/>
              <w:jc w:val="center"/>
              <w:rPr>
                <w:b/>
                <w:sz w:val="18"/>
                <w:szCs w:val="18"/>
              </w:rPr>
            </w:pPr>
            <w:r w:rsidRPr="006E6683">
              <w:rPr>
                <w:b/>
                <w:sz w:val="18"/>
                <w:szCs w:val="18"/>
              </w:rPr>
              <w:t>Avaliação em regime Não Presencial</w:t>
            </w:r>
          </w:p>
          <w:p w14:paraId="69CF7F22" w14:textId="77777777" w:rsidR="006E6683" w:rsidRPr="006E6683" w:rsidRDefault="006E6683" w:rsidP="00083E45">
            <w:pPr>
              <w:pStyle w:val="Header"/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  <w:p w14:paraId="584D3243" w14:textId="77777777" w:rsidR="006E6683" w:rsidRPr="006E6683" w:rsidRDefault="006E6683" w:rsidP="00083E45">
            <w:pPr>
              <w:jc w:val="center"/>
              <w:rPr>
                <w:rFonts w:ascii="Calibri" w:hAnsi="Calibri"/>
              </w:rPr>
            </w:pPr>
            <w:r w:rsidRPr="006E6683">
              <w:rPr>
                <w:rFonts w:ascii="Calibri" w:hAnsi="Calibri" w:cs="Arial"/>
                <w:b/>
                <w:sz w:val="16"/>
                <w:szCs w:val="16"/>
              </w:rPr>
              <w:t xml:space="preserve">Matriz de Prova </w:t>
            </w:r>
          </w:p>
        </w:tc>
      </w:tr>
      <w:tr w:rsidR="006E6683" w:rsidRPr="006E6683" w14:paraId="067A25F7" w14:textId="77777777" w:rsidTr="00083E45">
        <w:trPr>
          <w:trHeight w:val="284"/>
          <w:jc w:val="center"/>
        </w:trPr>
        <w:tc>
          <w:tcPr>
            <w:tcW w:w="2466" w:type="dxa"/>
            <w:vAlign w:val="center"/>
          </w:tcPr>
          <w:p w14:paraId="7A46DAEC" w14:textId="77777777" w:rsidR="006E6683" w:rsidRPr="006E6683" w:rsidRDefault="006E6683" w:rsidP="00083E4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E6683">
              <w:rPr>
                <w:rFonts w:ascii="Calibri" w:hAnsi="Calibri"/>
                <w:b/>
                <w:sz w:val="16"/>
                <w:szCs w:val="16"/>
              </w:rPr>
              <w:t>Curso Línguas e Humanidades</w:t>
            </w:r>
          </w:p>
        </w:tc>
        <w:tc>
          <w:tcPr>
            <w:tcW w:w="2467" w:type="dxa"/>
            <w:gridSpan w:val="2"/>
            <w:vAlign w:val="center"/>
          </w:tcPr>
          <w:p w14:paraId="0B497C3C" w14:textId="77777777" w:rsidR="006E6683" w:rsidRPr="006E6683" w:rsidRDefault="006E6683" w:rsidP="00083E4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E6683">
              <w:rPr>
                <w:rFonts w:ascii="Calibri" w:hAnsi="Calibri"/>
                <w:b/>
                <w:sz w:val="16"/>
                <w:szCs w:val="16"/>
              </w:rPr>
              <w:t>Disciplina: História A</w:t>
            </w:r>
          </w:p>
        </w:tc>
        <w:tc>
          <w:tcPr>
            <w:tcW w:w="2467" w:type="dxa"/>
            <w:gridSpan w:val="2"/>
            <w:vAlign w:val="center"/>
          </w:tcPr>
          <w:p w14:paraId="1D2FBDE0" w14:textId="2BC0B589" w:rsidR="006E6683" w:rsidRPr="006E6683" w:rsidRDefault="006E6683" w:rsidP="00083E4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E6683">
              <w:rPr>
                <w:rFonts w:ascii="Calibri" w:hAnsi="Calibri"/>
                <w:b/>
                <w:sz w:val="16"/>
                <w:szCs w:val="16"/>
              </w:rPr>
              <w:t>Módulo 4</w:t>
            </w:r>
          </w:p>
        </w:tc>
        <w:tc>
          <w:tcPr>
            <w:tcW w:w="2467" w:type="dxa"/>
            <w:vAlign w:val="center"/>
          </w:tcPr>
          <w:p w14:paraId="4B93F711" w14:textId="1B010BD5" w:rsidR="006E6683" w:rsidRPr="006E6683" w:rsidRDefault="006E6683" w:rsidP="00083E4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E6683">
              <w:rPr>
                <w:rFonts w:ascii="Calibri" w:hAnsi="Calibri"/>
                <w:b/>
                <w:sz w:val="16"/>
                <w:szCs w:val="16"/>
              </w:rPr>
              <w:t>Duração da Prova: 90 m</w:t>
            </w:r>
          </w:p>
        </w:tc>
      </w:tr>
    </w:tbl>
    <w:p w14:paraId="2F629067" w14:textId="77777777" w:rsidR="00C40310" w:rsidRDefault="00C40310" w:rsidP="004559A3">
      <w:pPr>
        <w:jc w:val="center"/>
        <w:rPr>
          <w:rFonts w:ascii="Trebuchet MS" w:hAnsi="Trebuchet MS"/>
          <w:sz w:val="20"/>
        </w:rPr>
      </w:pPr>
    </w:p>
    <w:p w14:paraId="7A1C412B" w14:textId="77777777" w:rsidR="00C40310" w:rsidRPr="009A07C4" w:rsidRDefault="00C40310" w:rsidP="00CA1D94">
      <w:pPr>
        <w:jc w:val="center"/>
        <w:rPr>
          <w:rFonts w:ascii="Trebuchet MS" w:hAnsi="Trebuchet MS"/>
          <w:sz w:val="20"/>
        </w:rPr>
      </w:pPr>
    </w:p>
    <w:p w14:paraId="0F79430A" w14:textId="77777777" w:rsidR="00C40310" w:rsidRPr="00FE4DFE" w:rsidRDefault="00C40310" w:rsidP="006E6683">
      <w:pPr>
        <w:rPr>
          <w:rFonts w:ascii="Trebuchet MS" w:hAnsi="Trebuchet MS"/>
          <w:b/>
          <w:sz w:val="20"/>
        </w:rPr>
      </w:pPr>
    </w:p>
    <w:p w14:paraId="3A0D9892" w14:textId="77777777" w:rsidR="00C40310" w:rsidRPr="00FE4DFE" w:rsidRDefault="00C40310" w:rsidP="00416F62">
      <w:pPr>
        <w:jc w:val="both"/>
        <w:rPr>
          <w:rFonts w:ascii="Trebuchet MS" w:hAnsi="Trebuchet MS"/>
          <w:b/>
          <w:sz w:val="20"/>
        </w:rPr>
      </w:pPr>
      <w:r w:rsidRPr="001C01EA">
        <w:rPr>
          <w:rFonts w:ascii="Trebuchet MS" w:hAnsi="Trebuchet MS"/>
          <w:b/>
          <w:sz w:val="20"/>
          <w:szCs w:val="18"/>
        </w:rPr>
        <w:t>Módulo 4</w:t>
      </w:r>
      <w:r w:rsidRPr="001C01EA">
        <w:rPr>
          <w:rFonts w:ascii="Trebuchet MS" w:hAnsi="Trebuchet MS"/>
          <w:b/>
          <w:sz w:val="20"/>
          <w:szCs w:val="20"/>
        </w:rPr>
        <w:t xml:space="preserve">: </w:t>
      </w:r>
      <w:r w:rsidRPr="001C01EA">
        <w:rPr>
          <w:rFonts w:ascii="Trebuchet MS" w:hAnsi="Trebuchet MS"/>
          <w:b/>
          <w:sz w:val="20"/>
          <w:szCs w:val="18"/>
        </w:rPr>
        <w:t>A Europa nos séculos XVII E XVIII – Sociedade, Poder e Dinâmicas Coloniais</w:t>
      </w:r>
    </w:p>
    <w:p w14:paraId="36A2ECE2" w14:textId="77777777" w:rsidR="00C40310" w:rsidRPr="009A07C4" w:rsidRDefault="00C40310" w:rsidP="00E41CD3">
      <w:pPr>
        <w:jc w:val="both"/>
        <w:rPr>
          <w:rFonts w:ascii="Trebuchet MS" w:hAnsi="Trebuchet MS"/>
          <w:sz w:val="20"/>
        </w:rPr>
      </w:pPr>
    </w:p>
    <w:p w14:paraId="23667DC2" w14:textId="77777777" w:rsidR="00C40310" w:rsidRPr="009A07C4" w:rsidRDefault="00C40310" w:rsidP="00416F62">
      <w:pPr>
        <w:jc w:val="both"/>
        <w:rPr>
          <w:rFonts w:ascii="Trebuchet MS" w:hAnsi="Trebuchet MS"/>
          <w:sz w:val="20"/>
        </w:rPr>
      </w:pPr>
    </w:p>
    <w:p w14:paraId="2DF34548" w14:textId="77777777" w:rsidR="00C40310" w:rsidRPr="009A07C4" w:rsidRDefault="00C40310" w:rsidP="00E41CD3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b/>
          <w:sz w:val="20"/>
        </w:rPr>
        <w:t>1. Objecto de avaliação</w:t>
      </w:r>
      <w:r w:rsidRPr="009A07C4">
        <w:rPr>
          <w:rFonts w:ascii="Trebuchet MS" w:hAnsi="Trebuchet MS"/>
          <w:sz w:val="20"/>
        </w:rPr>
        <w:t xml:space="preserve">: conteúdos do módulo 4 do Programa de História A. </w:t>
      </w:r>
    </w:p>
    <w:p w14:paraId="68B5B1C5" w14:textId="77777777" w:rsidR="00C40310" w:rsidRPr="009A07C4" w:rsidRDefault="00C40310" w:rsidP="002C7A63">
      <w:pPr>
        <w:jc w:val="both"/>
        <w:rPr>
          <w:rFonts w:ascii="Trebuchet MS" w:hAnsi="Trebuchet MS"/>
          <w:sz w:val="20"/>
        </w:rPr>
      </w:pPr>
    </w:p>
    <w:p w14:paraId="1D71D1DF" w14:textId="77777777" w:rsidR="00C40310" w:rsidRPr="009A07C4" w:rsidRDefault="00C40310" w:rsidP="00E41CD3">
      <w:pPr>
        <w:jc w:val="both"/>
        <w:rPr>
          <w:rFonts w:ascii="Trebuchet MS" w:hAnsi="Trebuchet MS"/>
          <w:b/>
          <w:sz w:val="20"/>
        </w:rPr>
      </w:pPr>
      <w:r w:rsidRPr="009A07C4">
        <w:rPr>
          <w:rFonts w:ascii="Trebuchet MS" w:hAnsi="Trebuchet MS"/>
          <w:b/>
          <w:sz w:val="20"/>
        </w:rPr>
        <w:t>2. Caracterização da prova</w:t>
      </w:r>
    </w:p>
    <w:p w14:paraId="328D22CB" w14:textId="77777777" w:rsidR="00C40310" w:rsidRPr="009A07C4" w:rsidRDefault="00C40310" w:rsidP="00E41CD3">
      <w:pPr>
        <w:jc w:val="both"/>
        <w:rPr>
          <w:rFonts w:ascii="Trebuchet MS" w:hAnsi="Trebuchet MS"/>
          <w:sz w:val="20"/>
        </w:rPr>
      </w:pPr>
    </w:p>
    <w:p w14:paraId="6B7C83DC" w14:textId="77777777" w:rsidR="00C40310" w:rsidRPr="00416F62" w:rsidRDefault="00C40310" w:rsidP="00E41CD3">
      <w:pPr>
        <w:jc w:val="both"/>
        <w:rPr>
          <w:rFonts w:ascii="Trebuchet MS" w:hAnsi="Trebuchet MS"/>
          <w:sz w:val="20"/>
        </w:rPr>
      </w:pPr>
      <w:r w:rsidRPr="002C7A63">
        <w:rPr>
          <w:rFonts w:ascii="Trebuchet MS" w:hAnsi="Trebuchet MS"/>
          <w:sz w:val="20"/>
        </w:rPr>
        <w:t xml:space="preserve">2.1. </w:t>
      </w:r>
      <w:r w:rsidRPr="00416F62">
        <w:rPr>
          <w:rFonts w:ascii="Trebuchet MS" w:hAnsi="Trebuchet MS"/>
          <w:sz w:val="20"/>
        </w:rPr>
        <w:t>Duração: A prova tem a duração de 90 minutos.</w:t>
      </w:r>
    </w:p>
    <w:p w14:paraId="22DB7F04" w14:textId="77777777" w:rsidR="00C40310" w:rsidRPr="009A07C4" w:rsidRDefault="00C40310" w:rsidP="00E41CD3">
      <w:pPr>
        <w:jc w:val="both"/>
        <w:rPr>
          <w:rFonts w:ascii="Trebuchet MS" w:hAnsi="Trebuchet MS"/>
          <w:b/>
          <w:sz w:val="20"/>
        </w:rPr>
      </w:pPr>
    </w:p>
    <w:p w14:paraId="59A48C1A" w14:textId="77777777" w:rsidR="00C40310" w:rsidRPr="002C7A63" w:rsidRDefault="00C40310" w:rsidP="001E240D">
      <w:pPr>
        <w:jc w:val="both"/>
        <w:rPr>
          <w:rFonts w:ascii="Trebuchet MS" w:hAnsi="Trebuchet MS"/>
          <w:sz w:val="20"/>
        </w:rPr>
      </w:pPr>
      <w:r w:rsidRPr="00416F62">
        <w:rPr>
          <w:rFonts w:ascii="Trebuchet MS" w:hAnsi="Trebuchet MS"/>
          <w:sz w:val="20"/>
        </w:rPr>
        <w:t>2.</w:t>
      </w:r>
      <w:r w:rsidRPr="002C7A63">
        <w:rPr>
          <w:rFonts w:ascii="Trebuchet MS" w:hAnsi="Trebuchet MS"/>
          <w:sz w:val="20"/>
        </w:rPr>
        <w:t>2</w:t>
      </w:r>
      <w:r w:rsidRPr="00416F62">
        <w:rPr>
          <w:rFonts w:ascii="Trebuchet MS" w:hAnsi="Trebuchet MS"/>
          <w:sz w:val="20"/>
        </w:rPr>
        <w:t>. Conteúdos</w:t>
      </w:r>
    </w:p>
    <w:p w14:paraId="189F9E82" w14:textId="77777777" w:rsidR="00C40310" w:rsidRPr="00416F62" w:rsidRDefault="00C40310" w:rsidP="00E41CD3">
      <w:pPr>
        <w:jc w:val="both"/>
        <w:rPr>
          <w:rFonts w:ascii="Trebuchet MS" w:hAnsi="Trebuchet MS"/>
          <w:sz w:val="20"/>
        </w:rPr>
      </w:pPr>
    </w:p>
    <w:p w14:paraId="3E90ABA1" w14:textId="77777777" w:rsidR="00C40310" w:rsidRPr="009A07C4" w:rsidRDefault="00C40310" w:rsidP="00E41CD3">
      <w:pPr>
        <w:jc w:val="both"/>
        <w:rPr>
          <w:rFonts w:ascii="Trebuchet MS" w:hAnsi="Trebuchet MS"/>
          <w:b/>
          <w:sz w:val="20"/>
        </w:rPr>
      </w:pPr>
    </w:p>
    <w:tbl>
      <w:tblPr>
        <w:tblStyle w:val="TableGrid"/>
        <w:tblW w:w="0" w:type="auto"/>
        <w:jc w:val="center"/>
        <w:tblLook w:val="00A0" w:firstRow="1" w:lastRow="0" w:firstColumn="1" w:lastColumn="0" w:noHBand="0" w:noVBand="0"/>
      </w:tblPr>
      <w:tblGrid>
        <w:gridCol w:w="1134"/>
        <w:gridCol w:w="6804"/>
        <w:gridCol w:w="1312"/>
      </w:tblGrid>
      <w:tr w:rsidR="00C40310" w:rsidRPr="00F962A1" w14:paraId="470388D5" w14:textId="77777777">
        <w:trPr>
          <w:jc w:val="center"/>
        </w:trPr>
        <w:tc>
          <w:tcPr>
            <w:tcW w:w="1134" w:type="dxa"/>
            <w:vAlign w:val="center"/>
          </w:tcPr>
          <w:p w14:paraId="4F15277D" w14:textId="77777777" w:rsidR="00C40310" w:rsidRPr="00F962A1" w:rsidRDefault="00C40310" w:rsidP="00E41CD3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F962A1">
              <w:rPr>
                <w:rFonts w:ascii="Trebuchet MS" w:hAnsi="Trebuchet MS"/>
                <w:b/>
                <w:i/>
                <w:sz w:val="16"/>
              </w:rPr>
              <w:t>Grupos</w:t>
            </w:r>
          </w:p>
        </w:tc>
        <w:tc>
          <w:tcPr>
            <w:tcW w:w="6804" w:type="dxa"/>
            <w:vAlign w:val="center"/>
          </w:tcPr>
          <w:p w14:paraId="7998C4BE" w14:textId="77777777" w:rsidR="00C40310" w:rsidRPr="00F962A1" w:rsidRDefault="00C40310" w:rsidP="00E41CD3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F962A1">
              <w:rPr>
                <w:rFonts w:ascii="Trebuchet MS" w:hAnsi="Trebuchet MS"/>
                <w:b/>
                <w:i/>
                <w:sz w:val="16"/>
              </w:rPr>
              <w:t>Conteúdos</w:t>
            </w:r>
          </w:p>
        </w:tc>
        <w:tc>
          <w:tcPr>
            <w:tcW w:w="1312" w:type="dxa"/>
            <w:vAlign w:val="center"/>
          </w:tcPr>
          <w:p w14:paraId="74C0A129" w14:textId="77777777" w:rsidR="00C40310" w:rsidRPr="00F962A1" w:rsidRDefault="00C40310" w:rsidP="00E41CD3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F962A1">
              <w:rPr>
                <w:rFonts w:ascii="Trebuchet MS" w:hAnsi="Trebuchet MS"/>
                <w:b/>
                <w:i/>
                <w:sz w:val="16"/>
              </w:rPr>
              <w:t>Cotação</w:t>
            </w:r>
          </w:p>
          <w:p w14:paraId="1CF390B7" w14:textId="77777777" w:rsidR="00C40310" w:rsidRPr="00F962A1" w:rsidRDefault="00C40310" w:rsidP="00E41CD3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F962A1">
              <w:rPr>
                <w:rFonts w:ascii="Trebuchet MS" w:hAnsi="Trebuchet MS"/>
                <w:b/>
                <w:i/>
                <w:sz w:val="16"/>
              </w:rPr>
              <w:t>(em pontos)</w:t>
            </w:r>
          </w:p>
        </w:tc>
      </w:tr>
      <w:tr w:rsidR="00C40310" w:rsidRPr="00F962A1" w14:paraId="7FA554DC" w14:textId="77777777">
        <w:trPr>
          <w:jc w:val="center"/>
        </w:trPr>
        <w:tc>
          <w:tcPr>
            <w:tcW w:w="1134" w:type="dxa"/>
            <w:vAlign w:val="center"/>
          </w:tcPr>
          <w:p w14:paraId="6DA530BD" w14:textId="77777777" w:rsidR="00C40310" w:rsidRPr="00F962A1" w:rsidRDefault="00C40310" w:rsidP="00E41CD3">
            <w:pPr>
              <w:jc w:val="center"/>
              <w:rPr>
                <w:rFonts w:ascii="Trebuchet MS" w:hAnsi="Trebuchet MS"/>
                <w:b/>
                <w:sz w:val="16"/>
              </w:rPr>
            </w:pPr>
            <w:r w:rsidRPr="00F962A1">
              <w:rPr>
                <w:rFonts w:ascii="Trebuchet MS" w:hAnsi="Trebuchet MS"/>
                <w:b/>
                <w:sz w:val="16"/>
              </w:rPr>
              <w:t>I</w:t>
            </w:r>
          </w:p>
        </w:tc>
        <w:tc>
          <w:tcPr>
            <w:tcW w:w="6804" w:type="dxa"/>
          </w:tcPr>
          <w:p w14:paraId="754BA8EF" w14:textId="77777777" w:rsidR="00C40310" w:rsidRPr="00B42A0F" w:rsidRDefault="00C40310" w:rsidP="00E41CD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8"/>
              </w:rPr>
            </w:pPr>
            <w:r w:rsidRPr="00B42A0F">
              <w:rPr>
                <w:rFonts w:ascii="Trebuchet MS" w:hAnsi="Trebuchet MS"/>
                <w:b/>
                <w:sz w:val="16"/>
                <w:szCs w:val="18"/>
              </w:rPr>
              <w:t>2. A Europa dos Estados absolutos e a Europa dos parlamentos</w:t>
            </w:r>
          </w:p>
          <w:p w14:paraId="729CD6C7" w14:textId="77777777" w:rsidR="00C40310" w:rsidRPr="001C01EA" w:rsidRDefault="00C40310" w:rsidP="00E41CD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2.1. Estratificação social e poder político nas sociedades de Antigo Regime</w:t>
            </w:r>
          </w:p>
          <w:p w14:paraId="05E8772C" w14:textId="77777777" w:rsidR="00C40310" w:rsidRPr="00B42A0F" w:rsidRDefault="00C40310" w:rsidP="00E41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20"/>
              </w:rPr>
              <w:t xml:space="preserve">- </w:t>
            </w:r>
            <w:r w:rsidRPr="00B42A0F">
              <w:rPr>
                <w:rFonts w:ascii="Trebuchet MS" w:hAnsi="Trebuchet MS"/>
                <w:sz w:val="16"/>
                <w:szCs w:val="18"/>
              </w:rPr>
              <w:t>A sociedade de ordens assente no privilégio e garantida pelo absolutismo régio de direito divino. Pluralidade de estratos sociais, de comportamentos e de valores. Os modelos estéticos de encenação do poder.</w:t>
            </w:r>
          </w:p>
          <w:p w14:paraId="42309599" w14:textId="77777777" w:rsidR="00C40310" w:rsidRPr="00B42A0F" w:rsidRDefault="00C40310" w:rsidP="00E41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Sociedade e poder em Portugal: preponderância da nobreza fundiária e mercantilizada. Criação do aparelho burocrático do Estado absoluto no século XVII. O absolutismo joanino.</w:t>
            </w:r>
          </w:p>
          <w:p w14:paraId="5CE7D46A" w14:textId="77777777" w:rsidR="00C40310" w:rsidRPr="00B42A0F" w:rsidRDefault="00C40310" w:rsidP="00E41CD3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44CCCB70" w14:textId="77777777" w:rsidR="00C40310" w:rsidRPr="00F962A1" w:rsidRDefault="00C40310" w:rsidP="00E41CD3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</w:rPr>
            </w:pPr>
            <w:r w:rsidRPr="00F962A1">
              <w:rPr>
                <w:rFonts w:ascii="Trebuchet MS" w:hAnsi="Trebuchet MS"/>
                <w:color w:val="000000"/>
                <w:sz w:val="16"/>
                <w:szCs w:val="20"/>
              </w:rPr>
              <w:t>60 pontos</w:t>
            </w:r>
          </w:p>
        </w:tc>
      </w:tr>
      <w:tr w:rsidR="00C40310" w:rsidRPr="00F962A1" w14:paraId="53AD73D6" w14:textId="77777777">
        <w:trPr>
          <w:jc w:val="center"/>
        </w:trPr>
        <w:tc>
          <w:tcPr>
            <w:tcW w:w="1134" w:type="dxa"/>
            <w:vAlign w:val="center"/>
          </w:tcPr>
          <w:p w14:paraId="04B57F93" w14:textId="77777777" w:rsidR="00C40310" w:rsidRPr="00F962A1" w:rsidRDefault="00C40310" w:rsidP="00E41CD3">
            <w:pPr>
              <w:jc w:val="center"/>
              <w:rPr>
                <w:rFonts w:ascii="Trebuchet MS" w:hAnsi="Trebuchet MS"/>
                <w:b/>
                <w:sz w:val="16"/>
              </w:rPr>
            </w:pPr>
            <w:r w:rsidRPr="00F962A1">
              <w:rPr>
                <w:rFonts w:ascii="Trebuchet MS" w:hAnsi="Trebuchet MS"/>
                <w:b/>
                <w:sz w:val="16"/>
              </w:rPr>
              <w:t>II</w:t>
            </w:r>
          </w:p>
        </w:tc>
        <w:tc>
          <w:tcPr>
            <w:tcW w:w="6804" w:type="dxa"/>
          </w:tcPr>
          <w:p w14:paraId="41EBE36C" w14:textId="77777777" w:rsidR="00C40310" w:rsidRPr="00B42A0F" w:rsidRDefault="00C40310" w:rsidP="00E41CD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8"/>
              </w:rPr>
            </w:pPr>
            <w:r w:rsidRPr="00B42A0F">
              <w:rPr>
                <w:rFonts w:ascii="Trebuchet MS" w:hAnsi="Trebuchet MS"/>
                <w:b/>
                <w:sz w:val="16"/>
                <w:szCs w:val="18"/>
              </w:rPr>
              <w:t>3. Triunfo dos Estados e dinâmicas económicas nos séculos XVII e XVIII</w:t>
            </w:r>
          </w:p>
          <w:p w14:paraId="118088D8" w14:textId="77777777" w:rsidR="00C40310" w:rsidRPr="00B42A0F" w:rsidRDefault="00C40310" w:rsidP="00E41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3.1. Reforço das economias nacionais e tentativas de controlo do comércio; o equilíbrio europeu e a disputa das áreas coloniais.</w:t>
            </w:r>
          </w:p>
          <w:p w14:paraId="0B0E7B72" w14:textId="77777777" w:rsidR="00C40310" w:rsidRPr="00B42A0F" w:rsidRDefault="00C40310" w:rsidP="00E41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3.2. A hegemonia económica britânica: condições de sucesso e arranque industrial.</w:t>
            </w:r>
          </w:p>
          <w:p w14:paraId="45A28800" w14:textId="77777777" w:rsidR="00C40310" w:rsidRPr="00B42A0F" w:rsidRDefault="00C40310" w:rsidP="00E41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3.3. Portugal – dificuldades e crescimento económico</w:t>
            </w:r>
          </w:p>
          <w:p w14:paraId="07483BB3" w14:textId="77777777" w:rsidR="00C40310" w:rsidRPr="00B42A0F" w:rsidRDefault="00C40310" w:rsidP="00E41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Da crise comercial de finais do século XVII à apropriação do ouro brasileiro pelo mercado britânico.</w:t>
            </w:r>
          </w:p>
          <w:p w14:paraId="7926F161" w14:textId="77777777" w:rsidR="00C40310" w:rsidRPr="00B42A0F" w:rsidRDefault="00C40310" w:rsidP="00E41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A política económica e social pombalina. A prosperidade comercial de finais do século XVIII.</w:t>
            </w:r>
          </w:p>
          <w:p w14:paraId="66070EA5" w14:textId="77777777" w:rsidR="00C40310" w:rsidRPr="00B42A0F" w:rsidRDefault="00C40310" w:rsidP="00E41CD3">
            <w:pPr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37C9CC40" w14:textId="77777777" w:rsidR="00C40310" w:rsidRPr="00F962A1" w:rsidRDefault="00C40310" w:rsidP="00E41CD3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</w:rPr>
            </w:pPr>
            <w:r w:rsidRPr="00F962A1">
              <w:rPr>
                <w:rFonts w:ascii="Trebuchet MS" w:hAnsi="Trebuchet MS"/>
                <w:color w:val="000000"/>
                <w:sz w:val="16"/>
                <w:szCs w:val="20"/>
              </w:rPr>
              <w:t>80 pontos</w:t>
            </w:r>
          </w:p>
        </w:tc>
      </w:tr>
      <w:tr w:rsidR="00C40310" w:rsidRPr="00F962A1" w14:paraId="40F06619" w14:textId="77777777">
        <w:trPr>
          <w:jc w:val="center"/>
        </w:trPr>
        <w:tc>
          <w:tcPr>
            <w:tcW w:w="1134" w:type="dxa"/>
            <w:vAlign w:val="center"/>
          </w:tcPr>
          <w:p w14:paraId="4041C89C" w14:textId="77777777" w:rsidR="00C40310" w:rsidRPr="00F962A1" w:rsidRDefault="00C40310" w:rsidP="00E41C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6"/>
              </w:rPr>
            </w:pPr>
            <w:r w:rsidRPr="00F962A1">
              <w:rPr>
                <w:rFonts w:ascii="Trebuchet MS" w:hAnsi="Trebuchet MS"/>
                <w:b/>
                <w:sz w:val="16"/>
              </w:rPr>
              <w:t>III</w:t>
            </w:r>
          </w:p>
        </w:tc>
        <w:tc>
          <w:tcPr>
            <w:tcW w:w="6804" w:type="dxa"/>
          </w:tcPr>
          <w:p w14:paraId="36B9E9C8" w14:textId="77777777" w:rsidR="00C40310" w:rsidRPr="00B42A0F" w:rsidRDefault="00C40310" w:rsidP="00E41CD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8"/>
              </w:rPr>
            </w:pPr>
            <w:r w:rsidRPr="00B42A0F">
              <w:rPr>
                <w:rFonts w:ascii="Trebuchet MS" w:hAnsi="Trebuchet MS"/>
                <w:b/>
                <w:sz w:val="16"/>
                <w:szCs w:val="18"/>
              </w:rPr>
              <w:t>4. Construção da modernidade europeia</w:t>
            </w:r>
          </w:p>
          <w:p w14:paraId="154A60B8" w14:textId="77777777" w:rsidR="00C40310" w:rsidRPr="00B42A0F" w:rsidRDefault="00C40310" w:rsidP="00E41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8"/>
              </w:rPr>
            </w:pPr>
            <w:r w:rsidRPr="001C01EA">
              <w:rPr>
                <w:rFonts w:ascii="Trebuchet MS" w:hAnsi="Trebuchet MS"/>
                <w:sz w:val="16"/>
                <w:szCs w:val="18"/>
              </w:rPr>
              <w:t>4.1. O método experimental e o progresso do conhecimento do homem e da natureza.</w:t>
            </w:r>
          </w:p>
          <w:p w14:paraId="616D3C1F" w14:textId="77777777" w:rsidR="00C40310" w:rsidRPr="00B42A0F" w:rsidRDefault="00C40310" w:rsidP="00E41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4.2. A filosofia das Luzes:</w:t>
            </w:r>
            <w:r w:rsidRPr="00B42A0F">
              <w:rPr>
                <w:rFonts w:ascii="Trebuchet MS" w:hAnsi="Trebuchet MS"/>
                <w:sz w:val="16"/>
                <w:szCs w:val="18"/>
              </w:rPr>
              <w:t xml:space="preserve"> apologia da razão, do progresso e do valor do indivíduo; defesa do direito natural, do</w:t>
            </w:r>
            <w:r w:rsidRPr="00B42A0F">
              <w:rPr>
                <w:sz w:val="16"/>
                <w:szCs w:val="18"/>
              </w:rPr>
              <w:t xml:space="preserve"> </w:t>
            </w:r>
            <w:r w:rsidRPr="00B42A0F">
              <w:rPr>
                <w:rFonts w:ascii="Trebuchet MS" w:hAnsi="Trebuchet MS"/>
                <w:sz w:val="16"/>
                <w:szCs w:val="18"/>
              </w:rPr>
              <w:t>contrato social e da separação dos poderes.</w:t>
            </w:r>
          </w:p>
          <w:p w14:paraId="36A863D4" w14:textId="77777777" w:rsidR="00C40310" w:rsidRPr="00B42A0F" w:rsidRDefault="00C40310" w:rsidP="00E41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4</w:t>
            </w: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.3. Portugal - o projecto pombalino de inspiração iluminista</w:t>
            </w:r>
            <w:r w:rsidRPr="00B42A0F">
              <w:rPr>
                <w:rFonts w:ascii="Trebuchet MS" w:hAnsi="Trebuchet MS"/>
                <w:sz w:val="16"/>
                <w:szCs w:val="18"/>
              </w:rPr>
              <w:t>: modernização do Estado e das instituições; ordenação do espaço urbano; a reforma do ensino.</w:t>
            </w:r>
          </w:p>
          <w:p w14:paraId="750A8B70" w14:textId="77777777" w:rsidR="00C40310" w:rsidRPr="00B42A0F" w:rsidRDefault="00C40310" w:rsidP="00E41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30943635" w14:textId="77777777" w:rsidR="00C40310" w:rsidRPr="00F962A1" w:rsidRDefault="00C40310" w:rsidP="00E41CD3">
            <w:pPr>
              <w:jc w:val="center"/>
              <w:rPr>
                <w:color w:val="000000"/>
                <w:sz w:val="16"/>
              </w:rPr>
            </w:pPr>
            <w:r w:rsidRPr="00F962A1">
              <w:rPr>
                <w:rFonts w:ascii="Trebuchet MS" w:hAnsi="Trebuchet MS"/>
                <w:sz w:val="16"/>
              </w:rPr>
              <w:t>60 pontos</w:t>
            </w:r>
          </w:p>
        </w:tc>
      </w:tr>
    </w:tbl>
    <w:p w14:paraId="61899490" w14:textId="77777777" w:rsidR="00C40310" w:rsidRPr="009A07C4" w:rsidRDefault="00C40310" w:rsidP="00E41CD3">
      <w:pPr>
        <w:jc w:val="both"/>
        <w:rPr>
          <w:rFonts w:ascii="Trebuchet MS" w:hAnsi="Trebuchet MS"/>
          <w:b/>
          <w:sz w:val="20"/>
        </w:rPr>
      </w:pPr>
    </w:p>
    <w:p w14:paraId="76153D17" w14:textId="77777777" w:rsidR="00C40310" w:rsidRPr="009A07C4" w:rsidRDefault="00C40310" w:rsidP="00CA1D94">
      <w:pPr>
        <w:jc w:val="both"/>
        <w:rPr>
          <w:rFonts w:ascii="Trebuchet MS" w:hAnsi="Trebuchet MS"/>
          <w:b/>
          <w:sz w:val="20"/>
        </w:rPr>
      </w:pPr>
    </w:p>
    <w:p w14:paraId="27D580F6" w14:textId="77777777" w:rsidR="00C40310" w:rsidRPr="009A07C4" w:rsidRDefault="00C40310" w:rsidP="00E41CD3">
      <w:pPr>
        <w:jc w:val="both"/>
        <w:rPr>
          <w:rFonts w:ascii="Trebuchet MS" w:hAnsi="Trebuchet MS"/>
          <w:sz w:val="20"/>
        </w:rPr>
      </w:pPr>
    </w:p>
    <w:p w14:paraId="44C11C88" w14:textId="77777777" w:rsidR="00C40310" w:rsidRPr="009A07C4" w:rsidRDefault="00C40310" w:rsidP="001E240D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2.3. A prova é cotada para 200 pontos.</w:t>
      </w:r>
    </w:p>
    <w:p w14:paraId="3F706BF7" w14:textId="77777777" w:rsidR="00C40310" w:rsidRPr="009A07C4" w:rsidRDefault="00C40310" w:rsidP="001E240D">
      <w:pPr>
        <w:jc w:val="both"/>
        <w:rPr>
          <w:rFonts w:ascii="Trebuchet MS" w:hAnsi="Trebuchet MS"/>
          <w:sz w:val="20"/>
        </w:rPr>
      </w:pPr>
    </w:p>
    <w:p w14:paraId="56EAC569" w14:textId="77777777" w:rsidR="00C40310" w:rsidRDefault="00C40310" w:rsidP="00416F62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 xml:space="preserve">2.3. Itens: tipologia, número e cotação </w:t>
      </w:r>
    </w:p>
    <w:p w14:paraId="2833D92A" w14:textId="77777777" w:rsidR="003E59B3" w:rsidRPr="009A07C4" w:rsidRDefault="003E59B3" w:rsidP="00416F62">
      <w:pPr>
        <w:jc w:val="both"/>
        <w:rPr>
          <w:rFonts w:ascii="Trebuchet MS" w:hAnsi="Trebuchet MS"/>
          <w:sz w:val="20"/>
        </w:rPr>
      </w:pPr>
    </w:p>
    <w:p w14:paraId="07A42F74" w14:textId="77777777" w:rsidR="00C40310" w:rsidRPr="009A07C4" w:rsidRDefault="00C40310" w:rsidP="001E240D">
      <w:pPr>
        <w:jc w:val="both"/>
        <w:rPr>
          <w:rFonts w:ascii="Trebuchet MS" w:hAnsi="Trebuchet MS"/>
          <w:sz w:val="20"/>
        </w:rPr>
      </w:pPr>
    </w:p>
    <w:tbl>
      <w:tblPr>
        <w:tblStyle w:val="TableGrid"/>
        <w:tblW w:w="0" w:type="auto"/>
        <w:jc w:val="center"/>
        <w:tblLook w:val="00A0" w:firstRow="1" w:lastRow="0" w:firstColumn="1" w:lastColumn="0" w:noHBand="0" w:noVBand="0"/>
      </w:tblPr>
      <w:tblGrid>
        <w:gridCol w:w="2268"/>
        <w:gridCol w:w="2268"/>
        <w:gridCol w:w="1705"/>
        <w:gridCol w:w="1276"/>
      </w:tblGrid>
      <w:tr w:rsidR="003E59B3" w:rsidRPr="001A4E56" w14:paraId="2542B9BB" w14:textId="77777777" w:rsidTr="00083E45">
        <w:trPr>
          <w:jc w:val="center"/>
        </w:trPr>
        <w:tc>
          <w:tcPr>
            <w:tcW w:w="4536" w:type="dxa"/>
            <w:gridSpan w:val="2"/>
            <w:vAlign w:val="center"/>
          </w:tcPr>
          <w:p w14:paraId="00C9DD80" w14:textId="77777777" w:rsidR="003E59B3" w:rsidRPr="001A4E56" w:rsidRDefault="003E59B3" w:rsidP="00083E45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1A4E56">
              <w:rPr>
                <w:rFonts w:ascii="Trebuchet MS" w:hAnsi="Trebuchet MS"/>
                <w:b/>
                <w:i/>
                <w:sz w:val="16"/>
              </w:rPr>
              <w:t>Tipologia de itens</w:t>
            </w:r>
          </w:p>
        </w:tc>
        <w:tc>
          <w:tcPr>
            <w:tcW w:w="1705" w:type="dxa"/>
            <w:vAlign w:val="center"/>
          </w:tcPr>
          <w:p w14:paraId="5B432774" w14:textId="77777777" w:rsidR="003E59B3" w:rsidRPr="001A4E56" w:rsidRDefault="003E59B3" w:rsidP="00083E45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1A4E56">
              <w:rPr>
                <w:rFonts w:ascii="Trebuchet MS" w:hAnsi="Trebuchet MS"/>
                <w:b/>
                <w:i/>
                <w:sz w:val="16"/>
              </w:rPr>
              <w:t>Número de itens</w:t>
            </w:r>
          </w:p>
          <w:p w14:paraId="3A4D7093" w14:textId="77777777" w:rsidR="003E59B3" w:rsidRPr="001A4E56" w:rsidRDefault="003E59B3" w:rsidP="00083E45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7E477C4" w14:textId="77777777" w:rsidR="003E59B3" w:rsidRPr="001A4E56" w:rsidRDefault="003E59B3" w:rsidP="00083E45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1A4E56">
              <w:rPr>
                <w:rFonts w:ascii="Trebuchet MS" w:hAnsi="Trebuchet MS"/>
                <w:b/>
                <w:i/>
                <w:sz w:val="16"/>
              </w:rPr>
              <w:t xml:space="preserve">Cotação </w:t>
            </w:r>
          </w:p>
          <w:p w14:paraId="22D3752B" w14:textId="77777777" w:rsidR="003E59B3" w:rsidRPr="001A4E56" w:rsidRDefault="003E59B3" w:rsidP="00083E45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1A4E56">
              <w:rPr>
                <w:rFonts w:ascii="Trebuchet MS" w:hAnsi="Trebuchet MS"/>
                <w:b/>
                <w:i/>
                <w:sz w:val="16"/>
              </w:rPr>
              <w:t>(em pontos)</w:t>
            </w:r>
          </w:p>
        </w:tc>
      </w:tr>
      <w:tr w:rsidR="003E59B3" w:rsidRPr="001A4E56" w14:paraId="24B08FA3" w14:textId="77777777" w:rsidTr="00083E45">
        <w:trPr>
          <w:trHeight w:val="284"/>
          <w:jc w:val="center"/>
        </w:trPr>
        <w:tc>
          <w:tcPr>
            <w:tcW w:w="2268" w:type="dxa"/>
            <w:vMerge w:val="restart"/>
            <w:vAlign w:val="center"/>
          </w:tcPr>
          <w:p w14:paraId="0BDBFCE0" w14:textId="77777777" w:rsidR="003E59B3" w:rsidRPr="00C92707" w:rsidRDefault="003E59B3" w:rsidP="00083E45">
            <w:pPr>
              <w:jc w:val="center"/>
            </w:pPr>
            <w:r w:rsidRPr="001A4E56">
              <w:rPr>
                <w:rFonts w:ascii="Trebuchet MS" w:hAnsi="Trebuchet MS"/>
                <w:sz w:val="16"/>
              </w:rPr>
              <w:t>Itens de construção</w:t>
            </w:r>
          </w:p>
        </w:tc>
        <w:tc>
          <w:tcPr>
            <w:tcW w:w="2268" w:type="dxa"/>
            <w:vAlign w:val="center"/>
          </w:tcPr>
          <w:p w14:paraId="1180CADC" w14:textId="77777777" w:rsidR="003E59B3" w:rsidRPr="001A4E56" w:rsidRDefault="003E59B3" w:rsidP="00083E45">
            <w:pPr>
              <w:jc w:val="both"/>
              <w:rPr>
                <w:rFonts w:ascii="Trebuchet MS" w:hAnsi="Trebuchet MS"/>
                <w:sz w:val="16"/>
              </w:rPr>
            </w:pPr>
            <w:r w:rsidRPr="001A4E56">
              <w:rPr>
                <w:rFonts w:ascii="Trebuchet MS" w:hAnsi="Trebuchet MS"/>
                <w:sz w:val="16"/>
              </w:rPr>
              <w:t>Resposta restrita</w:t>
            </w:r>
          </w:p>
        </w:tc>
        <w:tc>
          <w:tcPr>
            <w:tcW w:w="1705" w:type="dxa"/>
            <w:vAlign w:val="center"/>
          </w:tcPr>
          <w:p w14:paraId="14F31737" w14:textId="77777777" w:rsidR="003E59B3" w:rsidRPr="001A4E56" w:rsidRDefault="003E59B3" w:rsidP="00083E45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4CCE62C9" w14:textId="77777777" w:rsidR="003E59B3" w:rsidRPr="001A4E56" w:rsidRDefault="003E59B3" w:rsidP="00083E45">
            <w:pPr>
              <w:jc w:val="center"/>
              <w:rPr>
                <w:rFonts w:ascii="Trebuchet MS" w:hAnsi="Trebuchet MS"/>
                <w:sz w:val="16"/>
              </w:rPr>
            </w:pPr>
            <w:r w:rsidRPr="001A4E56">
              <w:rPr>
                <w:rFonts w:ascii="Trebuchet MS" w:hAnsi="Trebuchet MS"/>
                <w:sz w:val="16"/>
              </w:rPr>
              <w:t>30</w:t>
            </w:r>
          </w:p>
        </w:tc>
      </w:tr>
      <w:tr w:rsidR="003E59B3" w:rsidRPr="001A4E56" w14:paraId="05083DB4" w14:textId="77777777" w:rsidTr="00083E45">
        <w:trPr>
          <w:trHeight w:val="284"/>
          <w:jc w:val="center"/>
        </w:trPr>
        <w:tc>
          <w:tcPr>
            <w:tcW w:w="2268" w:type="dxa"/>
            <w:vMerge/>
            <w:vAlign w:val="center"/>
          </w:tcPr>
          <w:p w14:paraId="24833928" w14:textId="77777777" w:rsidR="003E59B3" w:rsidRPr="001A4E56" w:rsidRDefault="003E59B3" w:rsidP="00083E45">
            <w:pPr>
              <w:jc w:val="both"/>
              <w:rPr>
                <w:rFonts w:ascii="Trebuchet MS" w:hAnsi="Trebuchet MS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59347E4F" w14:textId="77777777" w:rsidR="003E59B3" w:rsidRPr="001A4E56" w:rsidRDefault="003E59B3" w:rsidP="00083E45">
            <w:pPr>
              <w:jc w:val="both"/>
              <w:rPr>
                <w:rFonts w:ascii="Trebuchet MS" w:hAnsi="Trebuchet MS"/>
                <w:sz w:val="16"/>
              </w:rPr>
            </w:pPr>
            <w:r w:rsidRPr="001A4E56">
              <w:rPr>
                <w:rFonts w:ascii="Trebuchet MS" w:hAnsi="Trebuchet MS"/>
                <w:sz w:val="16"/>
              </w:rPr>
              <w:t>Resposta extensa</w:t>
            </w:r>
          </w:p>
        </w:tc>
        <w:tc>
          <w:tcPr>
            <w:tcW w:w="1705" w:type="dxa"/>
            <w:vAlign w:val="center"/>
          </w:tcPr>
          <w:p w14:paraId="4DDE812D" w14:textId="77777777" w:rsidR="003E59B3" w:rsidRPr="001A4E56" w:rsidRDefault="003E59B3" w:rsidP="00083E45">
            <w:pPr>
              <w:jc w:val="center"/>
              <w:rPr>
                <w:rFonts w:ascii="Trebuchet MS" w:hAnsi="Trebuchet MS"/>
                <w:sz w:val="16"/>
              </w:rPr>
            </w:pPr>
            <w:r w:rsidRPr="001A4E56">
              <w:rPr>
                <w:rFonts w:ascii="Trebuchet MS" w:hAnsi="Trebuchet MS"/>
                <w:sz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6C0E8B70" w14:textId="77777777" w:rsidR="003E59B3" w:rsidRPr="001A4E56" w:rsidRDefault="003E59B3" w:rsidP="00083E45">
            <w:pPr>
              <w:jc w:val="center"/>
              <w:rPr>
                <w:rFonts w:ascii="Trebuchet MS" w:hAnsi="Trebuchet MS"/>
                <w:sz w:val="16"/>
              </w:rPr>
            </w:pPr>
            <w:r w:rsidRPr="001A4E56">
              <w:rPr>
                <w:rFonts w:ascii="Trebuchet MS" w:hAnsi="Trebuchet MS"/>
                <w:sz w:val="16"/>
              </w:rPr>
              <w:t>50</w:t>
            </w:r>
          </w:p>
        </w:tc>
      </w:tr>
    </w:tbl>
    <w:p w14:paraId="61AD8420" w14:textId="77777777" w:rsidR="00C40310" w:rsidRPr="009A07C4" w:rsidRDefault="00C40310" w:rsidP="001E240D">
      <w:pPr>
        <w:jc w:val="both"/>
        <w:rPr>
          <w:rFonts w:ascii="Trebuchet MS" w:hAnsi="Trebuchet MS"/>
          <w:sz w:val="20"/>
        </w:rPr>
      </w:pPr>
    </w:p>
    <w:p w14:paraId="6C01B502" w14:textId="77777777" w:rsidR="008230CA" w:rsidRPr="009A07C4" w:rsidRDefault="008230CA" w:rsidP="008230CA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2.3.1. Os itens da prova exigem a análise dos documentos apresentados.</w:t>
      </w:r>
    </w:p>
    <w:p w14:paraId="1889F907" w14:textId="77777777" w:rsidR="008230CA" w:rsidRPr="009A07C4" w:rsidRDefault="008230CA" w:rsidP="008230CA">
      <w:pPr>
        <w:jc w:val="both"/>
        <w:rPr>
          <w:rFonts w:ascii="Trebuchet MS" w:hAnsi="Trebuchet MS"/>
          <w:sz w:val="20"/>
        </w:rPr>
      </w:pPr>
    </w:p>
    <w:p w14:paraId="00233938" w14:textId="77777777" w:rsidR="008230CA" w:rsidRPr="009A07C4" w:rsidRDefault="008230CA" w:rsidP="008230CA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2.3.2. Os documentos que constituem suporte de análise para a resposta aos itens podem apresentar perspectivas diferentes e possibilitam o estabelecimento de inter-relações, em ordem ao esclarecimento de uma problemática decorrente de uma ou mais unidades do módulo.</w:t>
      </w:r>
    </w:p>
    <w:p w14:paraId="6256CB3F" w14:textId="77777777" w:rsidR="008230CA" w:rsidRPr="009A07C4" w:rsidRDefault="008230CA" w:rsidP="008230CA">
      <w:pPr>
        <w:jc w:val="both"/>
        <w:rPr>
          <w:rFonts w:ascii="Trebuchet MS" w:hAnsi="Trebuchet MS"/>
          <w:sz w:val="20"/>
        </w:rPr>
      </w:pPr>
    </w:p>
    <w:p w14:paraId="36C008AE" w14:textId="77777777" w:rsidR="008230CA" w:rsidRPr="009A07C4" w:rsidRDefault="008230CA" w:rsidP="008230CA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2.3.3. Nos itens que apresentam a instrução «</w:t>
      </w:r>
      <w:r w:rsidRPr="009A07C4">
        <w:rPr>
          <w:rFonts w:ascii="Trebuchet MS" w:hAnsi="Trebuchet MS"/>
          <w:i/>
          <w:sz w:val="20"/>
        </w:rPr>
        <w:t>com base em</w:t>
      </w:r>
      <w:r w:rsidRPr="009A07C4">
        <w:rPr>
          <w:rFonts w:ascii="Trebuchet MS" w:hAnsi="Trebuchet MS"/>
          <w:sz w:val="20"/>
        </w:rPr>
        <w:t xml:space="preserve">», a construção das respostas deve mobilizar os elementos/dados presentes, explícita ou implicitamente, no(s) documento(s). </w:t>
      </w:r>
    </w:p>
    <w:p w14:paraId="0019C671" w14:textId="77777777" w:rsidR="008230CA" w:rsidRPr="009A07C4" w:rsidRDefault="008230CA" w:rsidP="008230CA">
      <w:pPr>
        <w:jc w:val="both"/>
        <w:rPr>
          <w:rFonts w:ascii="Trebuchet MS" w:hAnsi="Trebuchet MS"/>
          <w:sz w:val="20"/>
        </w:rPr>
      </w:pPr>
    </w:p>
    <w:p w14:paraId="77DE9E9C" w14:textId="77777777" w:rsidR="008230CA" w:rsidRPr="009A07C4" w:rsidRDefault="008230CA" w:rsidP="008230CA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2.3.4. Nos itens que apresentam a instrução «</w:t>
      </w:r>
      <w:r w:rsidRPr="009A07C4">
        <w:rPr>
          <w:rFonts w:ascii="Trebuchet MS" w:hAnsi="Trebuchet MS"/>
          <w:i/>
          <w:sz w:val="20"/>
        </w:rPr>
        <w:t>a partir de</w:t>
      </w:r>
      <w:r w:rsidRPr="009A07C4">
        <w:rPr>
          <w:rFonts w:ascii="Trebuchet MS" w:hAnsi="Trebuchet MS"/>
          <w:sz w:val="20"/>
        </w:rPr>
        <w:t>» é igualmente obrigatória a mobilização de dados contidos no(s) documento(s), embora a resposta não se limite a esses elementos.</w:t>
      </w:r>
    </w:p>
    <w:p w14:paraId="3277C467" w14:textId="77777777" w:rsidR="008230CA" w:rsidRPr="009A07C4" w:rsidRDefault="008230CA" w:rsidP="008230CA">
      <w:pPr>
        <w:jc w:val="both"/>
        <w:rPr>
          <w:rFonts w:ascii="Trebuchet MS" w:hAnsi="Trebuchet MS"/>
          <w:sz w:val="20"/>
        </w:rPr>
      </w:pPr>
    </w:p>
    <w:p w14:paraId="37B6831A" w14:textId="77777777" w:rsidR="008230CA" w:rsidRPr="009A07C4" w:rsidRDefault="008230CA" w:rsidP="008230CA">
      <w:pPr>
        <w:jc w:val="both"/>
        <w:rPr>
          <w:rFonts w:ascii="Trebuchet MS" w:hAnsi="Trebuchet MS"/>
          <w:b/>
          <w:sz w:val="20"/>
        </w:rPr>
      </w:pPr>
    </w:p>
    <w:p w14:paraId="6FD0548F" w14:textId="77777777" w:rsidR="008230CA" w:rsidRPr="009A07C4" w:rsidRDefault="008230CA" w:rsidP="008230CA">
      <w:pPr>
        <w:jc w:val="both"/>
        <w:rPr>
          <w:rFonts w:ascii="Trebuchet MS" w:hAnsi="Trebuchet MS"/>
          <w:b/>
          <w:sz w:val="20"/>
        </w:rPr>
      </w:pPr>
      <w:r w:rsidRPr="009A07C4">
        <w:rPr>
          <w:rFonts w:ascii="Trebuchet MS" w:hAnsi="Trebuchet MS"/>
          <w:b/>
          <w:sz w:val="20"/>
        </w:rPr>
        <w:t>3. Critérios gerais de classificação</w:t>
      </w:r>
    </w:p>
    <w:p w14:paraId="2648E32B" w14:textId="77777777" w:rsidR="008230CA" w:rsidRPr="009A07C4" w:rsidRDefault="008230CA" w:rsidP="008230CA">
      <w:pPr>
        <w:jc w:val="both"/>
        <w:rPr>
          <w:rFonts w:ascii="Trebuchet MS" w:hAnsi="Trebuchet MS"/>
          <w:b/>
          <w:sz w:val="20"/>
        </w:rPr>
      </w:pPr>
    </w:p>
    <w:p w14:paraId="553FADC7" w14:textId="77777777" w:rsidR="008230CA" w:rsidRPr="00F962A1" w:rsidRDefault="008230CA" w:rsidP="008230CA">
      <w:pPr>
        <w:jc w:val="both"/>
        <w:rPr>
          <w:rFonts w:ascii="Trebuchet MS" w:hAnsi="Trebuchet MS"/>
          <w:b/>
          <w:sz w:val="20"/>
        </w:rPr>
      </w:pPr>
      <w:r w:rsidRPr="00F962A1">
        <w:rPr>
          <w:rFonts w:ascii="Trebuchet MS" w:hAnsi="Trebuchet MS"/>
          <w:b/>
          <w:sz w:val="20"/>
        </w:rPr>
        <w:t>3.1. Respostas</w:t>
      </w:r>
    </w:p>
    <w:p w14:paraId="06FA9E3D" w14:textId="77777777" w:rsidR="008230CA" w:rsidRPr="009A07C4" w:rsidRDefault="008230CA" w:rsidP="008230CA">
      <w:pPr>
        <w:jc w:val="both"/>
        <w:rPr>
          <w:rFonts w:ascii="Trebuchet MS" w:hAnsi="Trebuchet MS"/>
          <w:sz w:val="20"/>
        </w:rPr>
      </w:pPr>
    </w:p>
    <w:p w14:paraId="57952FB3" w14:textId="77777777" w:rsidR="008230CA" w:rsidRPr="009A07C4" w:rsidRDefault="008230CA" w:rsidP="008230CA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3.1.1. A classificação a atribuir a cada resposta resulta da aplicação dos critérios gerais e dos critérios específicos de classificação apresentados para cada item.</w:t>
      </w:r>
    </w:p>
    <w:p w14:paraId="1153BFF2" w14:textId="77777777" w:rsidR="008230CA" w:rsidRPr="009A07C4" w:rsidRDefault="008230CA" w:rsidP="008230CA">
      <w:pPr>
        <w:jc w:val="both"/>
        <w:rPr>
          <w:rFonts w:ascii="Trebuchet MS" w:hAnsi="Trebuchet MS"/>
          <w:sz w:val="20"/>
        </w:rPr>
      </w:pPr>
    </w:p>
    <w:p w14:paraId="54F75931" w14:textId="77777777" w:rsidR="008230CA" w:rsidRDefault="008230CA" w:rsidP="008230CA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3.1.2. As respostas ilegíveis ou que não possam ser claramente identificadas são classificadas com zero pontos.</w:t>
      </w:r>
    </w:p>
    <w:p w14:paraId="29FBBB24" w14:textId="77777777" w:rsidR="008230CA" w:rsidRPr="009A07C4" w:rsidRDefault="008230CA" w:rsidP="008230CA">
      <w:pPr>
        <w:jc w:val="both"/>
        <w:rPr>
          <w:rFonts w:ascii="Trebuchet MS" w:hAnsi="Trebuchet MS"/>
          <w:sz w:val="20"/>
        </w:rPr>
      </w:pPr>
    </w:p>
    <w:p w14:paraId="39471C4F" w14:textId="77777777" w:rsidR="008230CA" w:rsidRPr="00CD4083" w:rsidRDefault="008230CA" w:rsidP="008230CA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b/>
          <w:sz w:val="20"/>
        </w:rPr>
        <w:t xml:space="preserve">3.2. </w:t>
      </w:r>
      <w:r>
        <w:rPr>
          <w:rFonts w:ascii="Trebuchet MS" w:hAnsi="Trebuchet MS"/>
          <w:b/>
          <w:sz w:val="20"/>
        </w:rPr>
        <w:t>Níveis de desempenho</w:t>
      </w:r>
    </w:p>
    <w:p w14:paraId="7815E06E" w14:textId="77777777" w:rsidR="008230CA" w:rsidRPr="009A07C4" w:rsidRDefault="008230CA" w:rsidP="008230CA">
      <w:pPr>
        <w:jc w:val="both"/>
        <w:rPr>
          <w:rFonts w:ascii="Trebuchet MS" w:hAnsi="Trebuchet MS"/>
          <w:sz w:val="20"/>
        </w:rPr>
      </w:pPr>
    </w:p>
    <w:p w14:paraId="7A4FE514" w14:textId="77777777" w:rsidR="008230CA" w:rsidRPr="009A07C4" w:rsidRDefault="008230CA" w:rsidP="008230CA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3.</w:t>
      </w:r>
      <w:r>
        <w:rPr>
          <w:rFonts w:ascii="Trebuchet MS" w:hAnsi="Trebuchet MS"/>
          <w:sz w:val="20"/>
        </w:rPr>
        <w:t>2.1</w:t>
      </w:r>
      <w:r w:rsidRPr="009A07C4">
        <w:rPr>
          <w:rFonts w:ascii="Trebuchet MS" w:hAnsi="Trebuchet MS"/>
          <w:sz w:val="20"/>
        </w:rPr>
        <w:t>.</w:t>
      </w:r>
      <w:r w:rsidRPr="009A07C4"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sz w:val="20"/>
        </w:rPr>
        <w:t>O</w:t>
      </w:r>
      <w:r w:rsidRPr="009A07C4">
        <w:rPr>
          <w:rFonts w:ascii="Trebuchet MS" w:hAnsi="Trebuchet MS"/>
          <w:sz w:val="20"/>
        </w:rPr>
        <w:t>s critérios de classificação são organizados por níveis de desempenho. A cada nível de desempenho corresponde uma dada pontuação.</w:t>
      </w:r>
    </w:p>
    <w:p w14:paraId="661419B0" w14:textId="77777777" w:rsidR="008230CA" w:rsidRPr="009A07C4" w:rsidRDefault="008230CA" w:rsidP="008230CA">
      <w:pPr>
        <w:jc w:val="both"/>
        <w:rPr>
          <w:rFonts w:ascii="Trebuchet MS" w:hAnsi="Trebuchet MS"/>
          <w:sz w:val="20"/>
        </w:rPr>
      </w:pPr>
    </w:p>
    <w:p w14:paraId="2C2A64A8" w14:textId="77777777" w:rsidR="008230CA" w:rsidRPr="009A07C4" w:rsidRDefault="008230CA" w:rsidP="008230CA">
      <w:pPr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3.2.2</w:t>
      </w:r>
      <w:r w:rsidRPr="009A07C4">
        <w:rPr>
          <w:rFonts w:ascii="Trebuchet MS" w:hAnsi="Trebuchet MS"/>
          <w:sz w:val="20"/>
        </w:rPr>
        <w:t>.</w:t>
      </w:r>
      <w:r w:rsidRPr="009A07C4"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sz w:val="20"/>
        </w:rPr>
        <w:t>A</w:t>
      </w:r>
      <w:r w:rsidRPr="009A07C4">
        <w:rPr>
          <w:rFonts w:ascii="Trebuchet MS" w:hAnsi="Trebuchet MS"/>
          <w:sz w:val="20"/>
        </w:rPr>
        <w:t xml:space="preserve"> classificação traduz a avaliação do desempenho no domínio específico da disciplina e no domínio da comunicação escrita em língua portuguesa.</w:t>
      </w:r>
    </w:p>
    <w:p w14:paraId="459CB8C5" w14:textId="77777777" w:rsidR="008230CA" w:rsidRPr="00376590" w:rsidRDefault="008230CA" w:rsidP="008230CA">
      <w:pPr>
        <w:jc w:val="both"/>
        <w:rPr>
          <w:rFonts w:ascii="Calibri" w:hAnsi="Calibri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7938"/>
      </w:tblGrid>
      <w:tr w:rsidR="008230CA" w:rsidRPr="00376590" w14:paraId="6EBA21A5" w14:textId="77777777" w:rsidTr="00083E45">
        <w:trPr>
          <w:jc w:val="center"/>
        </w:trPr>
        <w:tc>
          <w:tcPr>
            <w:tcW w:w="1134" w:type="dxa"/>
            <w:shd w:val="clear" w:color="auto" w:fill="auto"/>
          </w:tcPr>
          <w:p w14:paraId="286937C8" w14:textId="77777777" w:rsidR="008230CA" w:rsidRPr="00376590" w:rsidRDefault="008230CA" w:rsidP="00083E45">
            <w:pPr>
              <w:jc w:val="center"/>
              <w:rPr>
                <w:rFonts w:ascii="Calibri" w:hAnsi="Calibri"/>
                <w:b/>
                <w:i/>
                <w:sz w:val="20"/>
                <w:lang w:bidi="x-none"/>
              </w:rPr>
            </w:pPr>
            <w:r w:rsidRPr="00376590">
              <w:rPr>
                <w:rFonts w:ascii="Calibri" w:hAnsi="Calibri"/>
                <w:b/>
                <w:i/>
                <w:sz w:val="20"/>
                <w:lang w:bidi="x-none"/>
              </w:rPr>
              <w:t>Níveis</w:t>
            </w:r>
          </w:p>
        </w:tc>
        <w:tc>
          <w:tcPr>
            <w:tcW w:w="7938" w:type="dxa"/>
            <w:shd w:val="clear" w:color="auto" w:fill="auto"/>
          </w:tcPr>
          <w:p w14:paraId="678DC1CE" w14:textId="77777777" w:rsidR="008230CA" w:rsidRPr="00376590" w:rsidRDefault="008230CA" w:rsidP="00083E45">
            <w:pPr>
              <w:jc w:val="center"/>
              <w:rPr>
                <w:rFonts w:ascii="Calibri" w:hAnsi="Calibri"/>
                <w:b/>
                <w:i/>
                <w:sz w:val="20"/>
                <w:lang w:bidi="x-none"/>
              </w:rPr>
            </w:pPr>
            <w:r w:rsidRPr="00376590">
              <w:rPr>
                <w:rFonts w:ascii="Calibri" w:hAnsi="Calibri"/>
                <w:b/>
                <w:i/>
                <w:sz w:val="20"/>
                <w:lang w:bidi="x-none"/>
              </w:rPr>
              <w:t>Descritores</w:t>
            </w:r>
          </w:p>
          <w:p w14:paraId="4450E6FC" w14:textId="77777777" w:rsidR="008230CA" w:rsidRPr="00376590" w:rsidRDefault="008230CA" w:rsidP="00083E45">
            <w:pPr>
              <w:jc w:val="center"/>
              <w:rPr>
                <w:rFonts w:ascii="Calibri" w:hAnsi="Calibri"/>
                <w:b/>
                <w:i/>
                <w:sz w:val="20"/>
                <w:lang w:bidi="x-none"/>
              </w:rPr>
            </w:pPr>
          </w:p>
        </w:tc>
      </w:tr>
      <w:tr w:rsidR="008230CA" w:rsidRPr="00376590" w14:paraId="75FC116C" w14:textId="77777777" w:rsidTr="00083E4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5A99772" w14:textId="77777777" w:rsidR="008230CA" w:rsidRPr="00376590" w:rsidRDefault="008230CA" w:rsidP="00083E45">
            <w:pPr>
              <w:jc w:val="center"/>
              <w:rPr>
                <w:rFonts w:ascii="Calibri" w:hAnsi="Calibri"/>
                <w:sz w:val="20"/>
                <w:lang w:bidi="x-none"/>
              </w:rPr>
            </w:pPr>
            <w:r w:rsidRPr="00376590">
              <w:rPr>
                <w:rFonts w:ascii="Calibri" w:hAnsi="Calibri"/>
                <w:sz w:val="20"/>
                <w:lang w:bidi="x-none"/>
              </w:rPr>
              <w:t>3</w:t>
            </w:r>
          </w:p>
        </w:tc>
        <w:tc>
          <w:tcPr>
            <w:tcW w:w="7938" w:type="dxa"/>
            <w:shd w:val="clear" w:color="auto" w:fill="auto"/>
          </w:tcPr>
          <w:p w14:paraId="0623EED2" w14:textId="77777777" w:rsidR="008230CA" w:rsidRPr="00376590" w:rsidRDefault="008230CA" w:rsidP="00083E45">
            <w:pPr>
              <w:jc w:val="both"/>
              <w:rPr>
                <w:rFonts w:ascii="Calibri" w:hAnsi="Calibri"/>
                <w:sz w:val="20"/>
                <w:lang w:bidi="x-none"/>
              </w:rPr>
            </w:pPr>
            <w:r w:rsidRPr="00376590">
              <w:rPr>
                <w:rFonts w:ascii="Calibri" w:hAnsi="Calibri"/>
                <w:sz w:val="20"/>
                <w:lang w:bidi="x-none"/>
              </w:rPr>
              <w:t>Composição bem estruturada, sem erros de sintaxe, de pontuação e/ou de ortografia, ou com erros esporádicos, cuja gravidade não implique perda de inteligibilidade e/ou de sentido.</w:t>
            </w:r>
          </w:p>
          <w:p w14:paraId="2B8DB240" w14:textId="77777777" w:rsidR="008230CA" w:rsidRPr="00376590" w:rsidRDefault="008230CA" w:rsidP="00083E45">
            <w:pPr>
              <w:jc w:val="both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8230CA" w:rsidRPr="00376590" w14:paraId="0FA690C5" w14:textId="77777777" w:rsidTr="00083E4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623543B5" w14:textId="77777777" w:rsidR="008230CA" w:rsidRPr="00376590" w:rsidRDefault="008230CA" w:rsidP="00083E45">
            <w:pPr>
              <w:jc w:val="center"/>
              <w:rPr>
                <w:rFonts w:ascii="Calibri" w:hAnsi="Calibri"/>
                <w:sz w:val="20"/>
                <w:lang w:bidi="x-none"/>
              </w:rPr>
            </w:pPr>
            <w:r w:rsidRPr="00376590">
              <w:rPr>
                <w:rFonts w:ascii="Calibri" w:hAnsi="Calibri"/>
                <w:sz w:val="20"/>
                <w:lang w:bidi="x-none"/>
              </w:rPr>
              <w:t>2</w:t>
            </w:r>
          </w:p>
        </w:tc>
        <w:tc>
          <w:tcPr>
            <w:tcW w:w="7938" w:type="dxa"/>
            <w:shd w:val="clear" w:color="auto" w:fill="auto"/>
          </w:tcPr>
          <w:p w14:paraId="3073711D" w14:textId="77777777" w:rsidR="008230CA" w:rsidRPr="00376590" w:rsidRDefault="008230CA" w:rsidP="00083E45">
            <w:pPr>
              <w:jc w:val="both"/>
              <w:rPr>
                <w:rFonts w:ascii="Calibri" w:hAnsi="Calibri"/>
                <w:sz w:val="20"/>
                <w:lang w:bidi="x-none"/>
              </w:rPr>
            </w:pPr>
            <w:r w:rsidRPr="00376590">
              <w:rPr>
                <w:rFonts w:ascii="Calibri" w:hAnsi="Calibri"/>
                <w:sz w:val="20"/>
                <w:lang w:bidi="x-none"/>
              </w:rPr>
              <w:t>Composição razoavelmente estruturada, com alguns erros de sintaxe, de pontuação e/ou de ortografia, cuja gravidade não implique perda de inteligibilidade e/ou de sentido.</w:t>
            </w:r>
          </w:p>
          <w:p w14:paraId="57C730C3" w14:textId="77777777" w:rsidR="008230CA" w:rsidRPr="00376590" w:rsidRDefault="008230CA" w:rsidP="00083E45">
            <w:pPr>
              <w:jc w:val="both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8230CA" w:rsidRPr="00376590" w14:paraId="40B72A20" w14:textId="77777777" w:rsidTr="00083E4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40C8693" w14:textId="77777777" w:rsidR="008230CA" w:rsidRPr="00376590" w:rsidRDefault="008230CA" w:rsidP="00083E45">
            <w:pPr>
              <w:jc w:val="center"/>
              <w:rPr>
                <w:rFonts w:ascii="Calibri" w:hAnsi="Calibri"/>
                <w:sz w:val="20"/>
                <w:lang w:bidi="x-none"/>
              </w:rPr>
            </w:pPr>
            <w:r w:rsidRPr="00376590">
              <w:rPr>
                <w:rFonts w:ascii="Calibri" w:hAnsi="Calibri"/>
                <w:sz w:val="20"/>
                <w:lang w:bidi="x-none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14:paraId="6F9360EF" w14:textId="77777777" w:rsidR="008230CA" w:rsidRPr="00376590" w:rsidRDefault="008230CA" w:rsidP="00083E45">
            <w:pPr>
              <w:jc w:val="both"/>
              <w:rPr>
                <w:rFonts w:ascii="Calibri" w:hAnsi="Calibri"/>
                <w:sz w:val="20"/>
                <w:lang w:bidi="x-none"/>
              </w:rPr>
            </w:pPr>
            <w:r w:rsidRPr="00376590">
              <w:rPr>
                <w:rFonts w:ascii="Calibri" w:hAnsi="Calibri"/>
                <w:sz w:val="20"/>
                <w:lang w:bidi="x-none"/>
              </w:rPr>
              <w:t>Composição sem estruturação aparente, com erros graves de sintaxe, de pontuação e/ou de ortografia, cuja gravidade implique perda frequente de inteligibilidade e/ou de sentido.</w:t>
            </w:r>
          </w:p>
          <w:p w14:paraId="03FA9F1F" w14:textId="77777777" w:rsidR="008230CA" w:rsidRPr="00376590" w:rsidRDefault="008230CA" w:rsidP="00083E45">
            <w:pPr>
              <w:jc w:val="both"/>
              <w:rPr>
                <w:rFonts w:ascii="Calibri" w:hAnsi="Calibri"/>
                <w:sz w:val="20"/>
                <w:lang w:bidi="x-none"/>
              </w:rPr>
            </w:pPr>
          </w:p>
        </w:tc>
      </w:tr>
    </w:tbl>
    <w:p w14:paraId="4DD7DA80" w14:textId="77777777" w:rsidR="008230CA" w:rsidRDefault="008230CA" w:rsidP="008230CA">
      <w:pPr>
        <w:jc w:val="both"/>
        <w:rPr>
          <w:rFonts w:ascii="Calibri" w:hAnsi="Calibri"/>
          <w:sz w:val="20"/>
          <w:szCs w:val="20"/>
        </w:rPr>
      </w:pPr>
    </w:p>
    <w:p w14:paraId="6CE64846" w14:textId="77777777" w:rsidR="008230CA" w:rsidRPr="00376590" w:rsidRDefault="008230CA" w:rsidP="008230CA">
      <w:pPr>
        <w:jc w:val="both"/>
        <w:rPr>
          <w:rFonts w:ascii="Calibri" w:hAnsi="Calibri"/>
          <w:sz w:val="20"/>
          <w:szCs w:val="20"/>
        </w:rPr>
      </w:pPr>
    </w:p>
    <w:p w14:paraId="596F9539" w14:textId="77777777" w:rsidR="008230CA" w:rsidRPr="00376590" w:rsidRDefault="008230CA" w:rsidP="008230CA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3.2.3. </w:t>
      </w:r>
      <w:r w:rsidRPr="00376590">
        <w:rPr>
          <w:rFonts w:ascii="Trebuchet MS" w:hAnsi="Trebuchet MS"/>
          <w:sz w:val="20"/>
          <w:szCs w:val="20"/>
        </w:rPr>
        <w:t>No caso de a resposta não atingir o nível 1 de desempenho no domínio específico da disciplina, a classificação a atribuir é zero pontos. Neste caso, não é classificado o desempenho no domínio da comunicação escrita em língua portuguesa</w:t>
      </w:r>
    </w:p>
    <w:p w14:paraId="28BC85D9" w14:textId="77777777" w:rsidR="008230CA" w:rsidRPr="00376590" w:rsidRDefault="008230CA" w:rsidP="008230CA">
      <w:pPr>
        <w:jc w:val="both"/>
        <w:rPr>
          <w:rFonts w:ascii="Trebuchet MS" w:hAnsi="Trebuchet MS"/>
          <w:sz w:val="20"/>
          <w:szCs w:val="20"/>
        </w:rPr>
      </w:pPr>
    </w:p>
    <w:p w14:paraId="63679D03" w14:textId="77777777" w:rsidR="008230CA" w:rsidRPr="00376590" w:rsidRDefault="008230CA" w:rsidP="008230CA">
      <w:pPr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4</w:t>
      </w:r>
      <w:r w:rsidRPr="00376590">
        <w:rPr>
          <w:rFonts w:ascii="Trebuchet MS" w:hAnsi="Trebuchet MS"/>
          <w:b/>
          <w:sz w:val="20"/>
          <w:szCs w:val="20"/>
        </w:rPr>
        <w:t>. Material</w:t>
      </w:r>
    </w:p>
    <w:p w14:paraId="18FF6B5C" w14:textId="77777777" w:rsidR="008230CA" w:rsidRPr="00376590" w:rsidRDefault="008230CA" w:rsidP="008230CA">
      <w:pPr>
        <w:jc w:val="both"/>
        <w:rPr>
          <w:rFonts w:ascii="Trebuchet MS" w:hAnsi="Trebuchet MS"/>
          <w:sz w:val="20"/>
          <w:szCs w:val="20"/>
        </w:rPr>
      </w:pPr>
    </w:p>
    <w:p w14:paraId="19C67826" w14:textId="77777777" w:rsidR="008230CA" w:rsidRPr="00376590" w:rsidRDefault="008230CA" w:rsidP="008230CA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4.1. </w:t>
      </w:r>
      <w:r w:rsidRPr="00376590">
        <w:rPr>
          <w:rFonts w:ascii="Trebuchet MS" w:hAnsi="Trebuchet MS"/>
          <w:sz w:val="20"/>
          <w:szCs w:val="20"/>
        </w:rPr>
        <w:t>O aluno apenas pode usar, como material de escrita, caneta ou esferográfica de tinta indelével, azul ou preta.</w:t>
      </w:r>
    </w:p>
    <w:p w14:paraId="6DFC0778" w14:textId="77777777" w:rsidR="008230CA" w:rsidRDefault="008230CA" w:rsidP="008230CA">
      <w:pPr>
        <w:jc w:val="both"/>
        <w:rPr>
          <w:rFonts w:ascii="Trebuchet MS" w:hAnsi="Trebuchet MS"/>
          <w:sz w:val="20"/>
          <w:szCs w:val="20"/>
        </w:rPr>
      </w:pPr>
    </w:p>
    <w:p w14:paraId="78B7733D" w14:textId="77777777" w:rsidR="008230CA" w:rsidRPr="00376590" w:rsidRDefault="008230CA" w:rsidP="008230CA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4.2. </w:t>
      </w:r>
      <w:r w:rsidRPr="00376590">
        <w:rPr>
          <w:rFonts w:ascii="Trebuchet MS" w:hAnsi="Trebuchet MS"/>
          <w:sz w:val="20"/>
          <w:szCs w:val="20"/>
        </w:rPr>
        <w:t>As respostas são registadas em folha própria – a folha de respostas disponível na Escola</w:t>
      </w:r>
    </w:p>
    <w:p w14:paraId="30CCD3B0" w14:textId="77777777" w:rsidR="008230CA" w:rsidRDefault="008230CA" w:rsidP="008230CA">
      <w:pPr>
        <w:jc w:val="both"/>
        <w:rPr>
          <w:rFonts w:ascii="Trebuchet MS" w:hAnsi="Trebuchet MS"/>
          <w:sz w:val="20"/>
          <w:szCs w:val="20"/>
        </w:rPr>
      </w:pPr>
    </w:p>
    <w:p w14:paraId="3CE1C966" w14:textId="77777777" w:rsidR="008230CA" w:rsidRPr="00376590" w:rsidRDefault="008230CA" w:rsidP="008230CA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4.3. </w:t>
      </w:r>
      <w:r w:rsidRPr="00376590">
        <w:rPr>
          <w:rFonts w:ascii="Trebuchet MS" w:hAnsi="Trebuchet MS"/>
          <w:sz w:val="20"/>
          <w:szCs w:val="20"/>
        </w:rPr>
        <w:t>Não é permitido o uso de corretor.</w:t>
      </w:r>
    </w:p>
    <w:p w14:paraId="3CF82C51" w14:textId="77777777" w:rsidR="008230CA" w:rsidRPr="00376590" w:rsidRDefault="008230CA" w:rsidP="008230CA">
      <w:pPr>
        <w:jc w:val="both"/>
        <w:rPr>
          <w:rFonts w:ascii="Trebuchet MS" w:hAnsi="Trebuchet MS"/>
          <w:sz w:val="20"/>
          <w:szCs w:val="20"/>
        </w:rPr>
      </w:pPr>
    </w:p>
    <w:p w14:paraId="17C8E63C" w14:textId="77777777" w:rsidR="008230CA" w:rsidRPr="009A07C4" w:rsidRDefault="008230CA" w:rsidP="008230CA">
      <w:pPr>
        <w:jc w:val="both"/>
        <w:rPr>
          <w:rFonts w:ascii="Trebuchet MS" w:hAnsi="Trebuchet MS"/>
        </w:rPr>
      </w:pPr>
    </w:p>
    <w:p w14:paraId="6638A295" w14:textId="77777777" w:rsidR="00C40310" w:rsidRPr="009A07C4" w:rsidRDefault="00C40310" w:rsidP="008230CA">
      <w:pPr>
        <w:jc w:val="both"/>
        <w:rPr>
          <w:rFonts w:ascii="Trebuchet MS" w:hAnsi="Trebuchet MS"/>
        </w:rPr>
      </w:pPr>
    </w:p>
    <w:sectPr w:rsidR="00C40310" w:rsidRPr="009A07C4" w:rsidSect="00E41CD3">
      <w:pgSz w:w="11900" w:h="16840"/>
      <w:pgMar w:top="567" w:right="851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97E38"/>
    <w:multiLevelType w:val="multilevel"/>
    <w:tmpl w:val="7C22BA18"/>
    <w:lvl w:ilvl="0">
      <w:start w:val="1"/>
      <w:numFmt w:val="bullet"/>
      <w:lvlText w:val="•"/>
      <w:lvlJc w:val="left"/>
      <w:pPr>
        <w:tabs>
          <w:tab w:val="num" w:pos="567"/>
        </w:tabs>
        <w:ind w:left="567" w:hanging="17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95725A"/>
    <w:multiLevelType w:val="hybridMultilevel"/>
    <w:tmpl w:val="7C22BA18"/>
    <w:lvl w:ilvl="0" w:tplc="801A4FB6">
      <w:start w:val="1"/>
      <w:numFmt w:val="bullet"/>
      <w:lvlText w:val="•"/>
      <w:lvlJc w:val="left"/>
      <w:pPr>
        <w:tabs>
          <w:tab w:val="num" w:pos="567"/>
        </w:tabs>
        <w:ind w:left="567" w:hanging="170"/>
      </w:pPr>
      <w:rPr>
        <w:rFonts w:ascii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0D4"/>
    <w:rsid w:val="003E59B3"/>
    <w:rsid w:val="004559A3"/>
    <w:rsid w:val="006E6683"/>
    <w:rsid w:val="008230CA"/>
    <w:rsid w:val="008520D4"/>
    <w:rsid w:val="00C40310"/>
    <w:rsid w:val="00DB0AA1"/>
    <w:rsid w:val="00E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7C7A8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rsid w:val="007E399F"/>
    <w:pPr>
      <w:keepNext/>
      <w:framePr w:hSpace="141" w:wrap="around" w:hAnchor="margin" w:y="-903"/>
      <w:jc w:val="both"/>
      <w:outlineLvl w:val="4"/>
    </w:pPr>
    <w:rPr>
      <w:b/>
      <w:sz w:val="20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15B7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4559A3"/>
    <w:rPr>
      <w:rFonts w:ascii="Courier" w:hAnsi="Courier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rsid w:val="004559A3"/>
    <w:rPr>
      <w:rFonts w:ascii="Courier" w:hAnsi="Courier"/>
      <w:sz w:val="21"/>
      <w:szCs w:val="21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9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9A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6E6683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6E6683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rsid w:val="007E399F"/>
    <w:pPr>
      <w:keepNext/>
      <w:framePr w:hSpace="141" w:wrap="around" w:hAnchor="margin" w:y="-903"/>
      <w:jc w:val="both"/>
      <w:outlineLvl w:val="4"/>
    </w:pPr>
    <w:rPr>
      <w:b/>
      <w:sz w:val="20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15B7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4559A3"/>
    <w:rPr>
      <w:rFonts w:ascii="Courier" w:hAnsi="Courier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rsid w:val="004559A3"/>
    <w:rPr>
      <w:rFonts w:ascii="Courier" w:hAnsi="Courier"/>
      <w:sz w:val="21"/>
      <w:szCs w:val="21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9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9A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6E6683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6E668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716</Words>
  <Characters>4083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Objeto de avaliação</vt:lpstr>
    </vt:vector>
  </TitlesOfParts>
  <Company>Fabula Urbis, Lda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 de avaliação</dc:title>
  <dc:subject/>
  <dc:creator>João Pimentel</dc:creator>
  <cp:keywords/>
  <cp:lastModifiedBy>Fabula Urbis</cp:lastModifiedBy>
  <cp:revision>8</cp:revision>
  <dcterms:created xsi:type="dcterms:W3CDTF">2015-10-04T15:58:00Z</dcterms:created>
  <dcterms:modified xsi:type="dcterms:W3CDTF">2015-10-04T17:14:00Z</dcterms:modified>
</cp:coreProperties>
</file>