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6"/>
        <w:gridCol w:w="823"/>
        <w:gridCol w:w="1644"/>
        <w:gridCol w:w="1645"/>
        <w:gridCol w:w="822"/>
        <w:gridCol w:w="2467"/>
      </w:tblGrid>
      <w:tr w:rsidR="00952F4F" w14:paraId="41B54735" w14:textId="77777777" w:rsidTr="00083E45">
        <w:trPr>
          <w:jc w:val="center"/>
        </w:trPr>
        <w:tc>
          <w:tcPr>
            <w:tcW w:w="4933" w:type="dxa"/>
            <w:gridSpan w:val="3"/>
            <w:vAlign w:val="center"/>
          </w:tcPr>
          <w:p w14:paraId="764A0D23" w14:textId="77777777" w:rsidR="00952F4F" w:rsidRDefault="00952F4F" w:rsidP="00083E45">
            <w:pPr>
              <w:jc w:val="center"/>
            </w:pPr>
            <w:r>
              <w:rPr>
                <w:rFonts w:ascii="Trebuchet MS" w:hAnsi="Trebuchet MS"/>
                <w:noProof/>
                <w:sz w:val="20"/>
                <w:szCs w:val="20"/>
                <w:lang w:val="en-US"/>
              </w:rPr>
              <w:drawing>
                <wp:inline distT="0" distB="0" distL="0" distR="0" wp14:anchorId="5AE59962" wp14:editId="353A2A94">
                  <wp:extent cx="2155190" cy="460284"/>
                  <wp:effectExtent l="0" t="0" r="381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401" cy="461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34" w:type="dxa"/>
            <w:gridSpan w:val="3"/>
            <w:vAlign w:val="center"/>
          </w:tcPr>
          <w:p w14:paraId="11E6EBB5" w14:textId="77777777" w:rsidR="00952F4F" w:rsidRPr="00FA4175" w:rsidRDefault="00952F4F" w:rsidP="00083E45">
            <w:pPr>
              <w:jc w:val="center"/>
              <w:rPr>
                <w:rFonts w:ascii="Trebuchet MS" w:hAnsi="Trebuchet MS"/>
                <w:b/>
                <w:color w:val="000000"/>
                <w:sz w:val="14"/>
                <w:szCs w:val="14"/>
              </w:rPr>
            </w:pPr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>DIREÇÃO GERAL DOS ESTABELECIMENTOS ESCOLARES</w:t>
            </w:r>
          </w:p>
          <w:p w14:paraId="62ED391F" w14:textId="77777777" w:rsidR="00952F4F" w:rsidRDefault="00952F4F" w:rsidP="00083E45">
            <w:pPr>
              <w:jc w:val="center"/>
            </w:pPr>
            <w:proofErr w:type="spellStart"/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>Direção</w:t>
            </w:r>
            <w:proofErr w:type="spellEnd"/>
            <w:r w:rsidRPr="00FA4175">
              <w:rPr>
                <w:rFonts w:ascii="Trebuchet MS" w:hAnsi="Trebuchet MS"/>
                <w:b/>
                <w:color w:val="000000"/>
                <w:sz w:val="14"/>
                <w:szCs w:val="14"/>
              </w:rPr>
              <w:t xml:space="preserve"> de Serviços Região de Lisboa e Vale do Tejo</w:t>
            </w:r>
          </w:p>
        </w:tc>
      </w:tr>
      <w:tr w:rsidR="00952F4F" w:rsidRPr="00952F4F" w14:paraId="332A3698" w14:textId="77777777" w:rsidTr="00083E45">
        <w:trPr>
          <w:jc w:val="center"/>
        </w:trPr>
        <w:tc>
          <w:tcPr>
            <w:tcW w:w="3289" w:type="dxa"/>
            <w:gridSpan w:val="2"/>
            <w:vAlign w:val="center"/>
          </w:tcPr>
          <w:p w14:paraId="62799A23" w14:textId="77777777" w:rsidR="00952F4F" w:rsidRPr="00952F4F" w:rsidRDefault="00952F4F" w:rsidP="00083E45">
            <w:pPr>
              <w:jc w:val="center"/>
              <w:rPr>
                <w:rFonts w:ascii="Calibri" w:hAnsi="Calibri"/>
              </w:rPr>
            </w:pPr>
            <w:r w:rsidRPr="00952F4F">
              <w:rPr>
                <w:rFonts w:ascii="Calibri" w:hAnsi="Calibri"/>
                <w:noProof/>
                <w:lang w:val="en-US"/>
              </w:rPr>
              <w:drawing>
                <wp:inline distT="0" distB="0" distL="0" distR="0" wp14:anchorId="138051C6" wp14:editId="3CCDE2E2">
                  <wp:extent cx="1717040" cy="502058"/>
                  <wp:effectExtent l="0" t="0" r="10160" b="6350"/>
                  <wp:docPr id="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7040" cy="502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89" w:type="dxa"/>
            <w:gridSpan w:val="2"/>
            <w:vAlign w:val="center"/>
          </w:tcPr>
          <w:p w14:paraId="6E1B2168" w14:textId="77777777" w:rsidR="00952F4F" w:rsidRPr="00952F4F" w:rsidRDefault="00952F4F" w:rsidP="00083E45">
            <w:pPr>
              <w:jc w:val="center"/>
              <w:rPr>
                <w:rFonts w:ascii="Calibri" w:hAnsi="Calibri"/>
                <w:b/>
                <w:color w:val="000000"/>
                <w:sz w:val="18"/>
                <w:szCs w:val="18"/>
                <w:lang w:val="pt-BR"/>
              </w:rPr>
            </w:pPr>
            <w:r w:rsidRPr="00952F4F">
              <w:rPr>
                <w:rFonts w:ascii="Calibri" w:hAnsi="Calibri"/>
                <w:b/>
                <w:color w:val="000000"/>
                <w:sz w:val="18"/>
                <w:szCs w:val="18"/>
                <w:lang w:val="pt-BR"/>
              </w:rPr>
              <w:t>ESCOLA SECUNDÁRIA D. PEDRO V</w:t>
            </w:r>
          </w:p>
          <w:p w14:paraId="21DD73D1" w14:textId="77777777" w:rsidR="00952F4F" w:rsidRPr="00952F4F" w:rsidRDefault="00952F4F" w:rsidP="00083E4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</w:pPr>
          </w:p>
          <w:p w14:paraId="47B0D518" w14:textId="77777777" w:rsidR="00952F4F" w:rsidRPr="00952F4F" w:rsidRDefault="00952F4F" w:rsidP="00083E45">
            <w:pPr>
              <w:jc w:val="center"/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</w:pPr>
            <w:r w:rsidRPr="00952F4F">
              <w:rPr>
                <w:rFonts w:ascii="Calibri" w:hAnsi="Calibri"/>
                <w:b/>
                <w:color w:val="000000"/>
                <w:sz w:val="16"/>
                <w:szCs w:val="16"/>
                <w:lang w:val="pt-BR"/>
              </w:rPr>
              <w:t>Ensino Recorrente por Módulos Capitalizáveis</w:t>
            </w:r>
          </w:p>
        </w:tc>
        <w:tc>
          <w:tcPr>
            <w:tcW w:w="3289" w:type="dxa"/>
            <w:gridSpan w:val="2"/>
            <w:vAlign w:val="center"/>
          </w:tcPr>
          <w:p w14:paraId="65EBCE16" w14:textId="77777777" w:rsidR="00952F4F" w:rsidRPr="00952F4F" w:rsidRDefault="00952F4F" w:rsidP="00083E45">
            <w:pPr>
              <w:pStyle w:val="Header"/>
              <w:jc w:val="center"/>
              <w:rPr>
                <w:b/>
                <w:sz w:val="18"/>
                <w:szCs w:val="18"/>
              </w:rPr>
            </w:pPr>
            <w:r w:rsidRPr="00952F4F">
              <w:rPr>
                <w:b/>
                <w:sz w:val="18"/>
                <w:szCs w:val="18"/>
              </w:rPr>
              <w:t>Avaliação em regime Não Presencial</w:t>
            </w:r>
          </w:p>
          <w:p w14:paraId="224E1010" w14:textId="77777777" w:rsidR="00952F4F" w:rsidRPr="00952F4F" w:rsidRDefault="00952F4F" w:rsidP="00083E45">
            <w:pPr>
              <w:pStyle w:val="Header"/>
              <w:jc w:val="center"/>
              <w:rPr>
                <w:rFonts w:cs="Arial"/>
                <w:b/>
                <w:smallCaps/>
                <w:sz w:val="16"/>
                <w:szCs w:val="16"/>
              </w:rPr>
            </w:pPr>
          </w:p>
          <w:p w14:paraId="27CB0922" w14:textId="77777777" w:rsidR="00952F4F" w:rsidRPr="00952F4F" w:rsidRDefault="00952F4F" w:rsidP="00083E45">
            <w:pPr>
              <w:jc w:val="center"/>
              <w:rPr>
                <w:rFonts w:ascii="Calibri" w:hAnsi="Calibri"/>
              </w:rPr>
            </w:pPr>
            <w:r w:rsidRPr="00952F4F">
              <w:rPr>
                <w:rFonts w:ascii="Calibri" w:hAnsi="Calibri" w:cs="Arial"/>
                <w:b/>
                <w:sz w:val="16"/>
                <w:szCs w:val="16"/>
              </w:rPr>
              <w:t xml:space="preserve">Matriz de Prova </w:t>
            </w:r>
          </w:p>
        </w:tc>
      </w:tr>
      <w:tr w:rsidR="00952F4F" w:rsidRPr="00952F4F" w14:paraId="5B5B5C02" w14:textId="77777777" w:rsidTr="00083E45">
        <w:trPr>
          <w:trHeight w:val="284"/>
          <w:jc w:val="center"/>
        </w:trPr>
        <w:tc>
          <w:tcPr>
            <w:tcW w:w="2466" w:type="dxa"/>
            <w:vAlign w:val="center"/>
          </w:tcPr>
          <w:p w14:paraId="757D2581" w14:textId="77777777" w:rsidR="00952F4F" w:rsidRPr="00952F4F" w:rsidRDefault="00952F4F" w:rsidP="00083E4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52F4F">
              <w:rPr>
                <w:rFonts w:ascii="Calibri" w:hAnsi="Calibri"/>
                <w:b/>
                <w:sz w:val="16"/>
                <w:szCs w:val="16"/>
              </w:rPr>
              <w:t>Curso Línguas e Humanidades</w:t>
            </w:r>
          </w:p>
        </w:tc>
        <w:tc>
          <w:tcPr>
            <w:tcW w:w="2467" w:type="dxa"/>
            <w:gridSpan w:val="2"/>
            <w:vAlign w:val="center"/>
          </w:tcPr>
          <w:p w14:paraId="5D14C038" w14:textId="77777777" w:rsidR="00952F4F" w:rsidRPr="00952F4F" w:rsidRDefault="00952F4F" w:rsidP="00083E45">
            <w:pPr>
              <w:jc w:val="center"/>
              <w:rPr>
                <w:rFonts w:ascii="Calibri" w:hAnsi="Calibri"/>
                <w:sz w:val="18"/>
                <w:szCs w:val="18"/>
              </w:rPr>
            </w:pPr>
            <w:r w:rsidRPr="00952F4F">
              <w:rPr>
                <w:rFonts w:ascii="Calibri" w:hAnsi="Calibri"/>
                <w:b/>
                <w:sz w:val="16"/>
                <w:szCs w:val="16"/>
              </w:rPr>
              <w:t>Disciplina: História A</w:t>
            </w:r>
          </w:p>
        </w:tc>
        <w:tc>
          <w:tcPr>
            <w:tcW w:w="2467" w:type="dxa"/>
            <w:gridSpan w:val="2"/>
            <w:vAlign w:val="center"/>
          </w:tcPr>
          <w:p w14:paraId="001F1604" w14:textId="4185DCA8" w:rsidR="00952F4F" w:rsidRPr="00952F4F" w:rsidRDefault="00952F4F" w:rsidP="00083E4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52F4F">
              <w:rPr>
                <w:rFonts w:ascii="Calibri" w:hAnsi="Calibri"/>
                <w:b/>
                <w:sz w:val="16"/>
                <w:szCs w:val="16"/>
              </w:rPr>
              <w:t>Módulo</w:t>
            </w:r>
            <w:r w:rsidRPr="00952F4F">
              <w:rPr>
                <w:rFonts w:ascii="Calibri" w:hAnsi="Calibri"/>
                <w:b/>
                <w:sz w:val="16"/>
                <w:szCs w:val="16"/>
              </w:rPr>
              <w:t xml:space="preserve"> 5</w:t>
            </w:r>
          </w:p>
        </w:tc>
        <w:tc>
          <w:tcPr>
            <w:tcW w:w="2467" w:type="dxa"/>
            <w:vAlign w:val="center"/>
          </w:tcPr>
          <w:p w14:paraId="439C399F" w14:textId="476EE9BB" w:rsidR="00952F4F" w:rsidRPr="00952F4F" w:rsidRDefault="00952F4F" w:rsidP="00083E45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952F4F">
              <w:rPr>
                <w:rFonts w:ascii="Calibri" w:hAnsi="Calibri"/>
                <w:b/>
                <w:sz w:val="16"/>
                <w:szCs w:val="16"/>
              </w:rPr>
              <w:t>Duração da Prova: 90</w:t>
            </w:r>
            <w:r w:rsidRPr="00952F4F">
              <w:rPr>
                <w:rFonts w:ascii="Calibri" w:hAnsi="Calibri"/>
                <w:b/>
                <w:sz w:val="16"/>
                <w:szCs w:val="16"/>
              </w:rPr>
              <w:t xml:space="preserve"> m</w:t>
            </w:r>
          </w:p>
        </w:tc>
      </w:tr>
    </w:tbl>
    <w:p w14:paraId="60D27FC0" w14:textId="77777777" w:rsidR="00C86E7E" w:rsidRPr="009A07C4" w:rsidRDefault="00C86E7E" w:rsidP="00952F4F">
      <w:pPr>
        <w:jc w:val="center"/>
        <w:rPr>
          <w:rFonts w:ascii="Trebuchet MS" w:hAnsi="Trebuchet MS"/>
          <w:sz w:val="20"/>
        </w:rPr>
      </w:pPr>
    </w:p>
    <w:p w14:paraId="067BC0A5" w14:textId="77777777" w:rsidR="00C86E7E" w:rsidRPr="009A07C4" w:rsidRDefault="00C86E7E" w:rsidP="00CA1D94">
      <w:pPr>
        <w:jc w:val="center"/>
        <w:rPr>
          <w:rFonts w:ascii="Trebuchet MS" w:hAnsi="Trebuchet MS"/>
          <w:sz w:val="20"/>
        </w:rPr>
      </w:pPr>
      <w:bookmarkStart w:id="0" w:name="_GoBack"/>
      <w:bookmarkEnd w:id="0"/>
    </w:p>
    <w:p w14:paraId="549A2FE4" w14:textId="77777777" w:rsidR="00C86E7E" w:rsidRPr="00FE4DFE" w:rsidRDefault="00C86E7E" w:rsidP="00CA1D94">
      <w:pPr>
        <w:jc w:val="center"/>
        <w:rPr>
          <w:rFonts w:ascii="Trebuchet MS" w:hAnsi="Trebuchet MS"/>
          <w:b/>
          <w:sz w:val="20"/>
        </w:rPr>
      </w:pPr>
    </w:p>
    <w:p w14:paraId="3A2C0F47" w14:textId="77777777" w:rsidR="00C86E7E" w:rsidRPr="001C01EA" w:rsidRDefault="00C86E7E" w:rsidP="00CA1D94">
      <w:pPr>
        <w:widowControl w:val="0"/>
        <w:autoSpaceDE w:val="0"/>
        <w:autoSpaceDN w:val="0"/>
        <w:adjustRightInd w:val="0"/>
        <w:jc w:val="both"/>
        <w:rPr>
          <w:rFonts w:ascii="Trebuchet MS" w:hAnsi="Trebuchet MS"/>
          <w:b/>
          <w:sz w:val="20"/>
          <w:szCs w:val="18"/>
        </w:rPr>
      </w:pPr>
      <w:r w:rsidRPr="001C01EA">
        <w:rPr>
          <w:rFonts w:ascii="Trebuchet MS" w:hAnsi="Trebuchet MS"/>
          <w:b/>
          <w:sz w:val="20"/>
          <w:szCs w:val="18"/>
        </w:rPr>
        <w:t>Módulo 5 : O Liberalismo – Ideologia e revolução, modelos e práticas nos séculos XVIII E XIX</w:t>
      </w:r>
    </w:p>
    <w:p w14:paraId="4752DB47" w14:textId="77777777" w:rsidR="00C86E7E" w:rsidRPr="009A07C4" w:rsidRDefault="00C86E7E" w:rsidP="00CA1D94">
      <w:pPr>
        <w:jc w:val="both"/>
        <w:rPr>
          <w:rFonts w:ascii="Trebuchet MS" w:hAnsi="Trebuchet MS"/>
          <w:sz w:val="20"/>
        </w:rPr>
      </w:pPr>
    </w:p>
    <w:p w14:paraId="50B30D61" w14:textId="77777777" w:rsidR="00C86E7E" w:rsidRPr="009A07C4" w:rsidRDefault="00C86E7E" w:rsidP="00CA1D94">
      <w:pPr>
        <w:jc w:val="both"/>
        <w:rPr>
          <w:rFonts w:ascii="Trebuchet MS" w:hAnsi="Trebuchet MS"/>
          <w:sz w:val="20"/>
        </w:rPr>
      </w:pPr>
    </w:p>
    <w:p w14:paraId="0015333C" w14:textId="77777777" w:rsidR="00C86E7E" w:rsidRPr="009A07C4" w:rsidRDefault="00C86E7E" w:rsidP="00CA1D94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b/>
          <w:sz w:val="20"/>
        </w:rPr>
        <w:t>1. Objecto de avaliação</w:t>
      </w:r>
      <w:r w:rsidRPr="009A07C4">
        <w:rPr>
          <w:rFonts w:ascii="Trebuchet MS" w:hAnsi="Trebuchet MS"/>
          <w:sz w:val="20"/>
        </w:rPr>
        <w:t xml:space="preserve">: conteúdos do módulo 5 do Programa de História A. </w:t>
      </w:r>
    </w:p>
    <w:p w14:paraId="485B34FA" w14:textId="77777777" w:rsidR="00C86E7E" w:rsidRPr="009A07C4" w:rsidRDefault="00C86E7E" w:rsidP="00CA1D94">
      <w:pPr>
        <w:jc w:val="both"/>
        <w:rPr>
          <w:rFonts w:ascii="Trebuchet MS" w:hAnsi="Trebuchet MS"/>
          <w:sz w:val="20"/>
        </w:rPr>
      </w:pPr>
    </w:p>
    <w:p w14:paraId="6E0C2CCA" w14:textId="77777777" w:rsidR="00C86E7E" w:rsidRPr="009A07C4" w:rsidRDefault="00C86E7E" w:rsidP="00003D90">
      <w:pPr>
        <w:jc w:val="both"/>
        <w:rPr>
          <w:rFonts w:ascii="Trebuchet MS" w:hAnsi="Trebuchet MS"/>
          <w:b/>
          <w:sz w:val="20"/>
        </w:rPr>
      </w:pPr>
      <w:r w:rsidRPr="009A07C4">
        <w:rPr>
          <w:rFonts w:ascii="Trebuchet MS" w:hAnsi="Trebuchet MS"/>
          <w:b/>
          <w:sz w:val="20"/>
        </w:rPr>
        <w:t>2. Caracterização da prova</w:t>
      </w:r>
    </w:p>
    <w:p w14:paraId="641F4448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</w:p>
    <w:p w14:paraId="1E8B6496" w14:textId="77777777" w:rsidR="00C86E7E" w:rsidRPr="002C7A63" w:rsidRDefault="00C86E7E" w:rsidP="00003D90">
      <w:pPr>
        <w:jc w:val="both"/>
        <w:rPr>
          <w:rFonts w:ascii="Trebuchet MS" w:hAnsi="Trebuchet MS"/>
          <w:sz w:val="20"/>
        </w:rPr>
      </w:pPr>
      <w:r w:rsidRPr="002C7A63">
        <w:rPr>
          <w:rFonts w:ascii="Trebuchet MS" w:hAnsi="Trebuchet MS"/>
          <w:sz w:val="20"/>
        </w:rPr>
        <w:t>2.1. Duração: A prova tem a duração de 90 minutos.</w:t>
      </w:r>
    </w:p>
    <w:p w14:paraId="649E8D94" w14:textId="77777777" w:rsidR="00C86E7E" w:rsidRPr="009A07C4" w:rsidRDefault="00C86E7E" w:rsidP="00003D90">
      <w:pPr>
        <w:jc w:val="both"/>
        <w:rPr>
          <w:rFonts w:ascii="Trebuchet MS" w:hAnsi="Trebuchet MS"/>
          <w:b/>
          <w:sz w:val="20"/>
        </w:rPr>
      </w:pPr>
    </w:p>
    <w:p w14:paraId="31AA64B9" w14:textId="77777777" w:rsidR="00C86E7E" w:rsidRPr="002C7A63" w:rsidRDefault="00C86E7E" w:rsidP="00003D90">
      <w:pPr>
        <w:jc w:val="both"/>
        <w:rPr>
          <w:rFonts w:ascii="Trebuchet MS" w:hAnsi="Trebuchet MS"/>
          <w:sz w:val="20"/>
        </w:rPr>
      </w:pPr>
      <w:r w:rsidRPr="002C7A63">
        <w:rPr>
          <w:rFonts w:ascii="Trebuchet MS" w:hAnsi="Trebuchet MS"/>
          <w:sz w:val="20"/>
        </w:rPr>
        <w:t>2.2. Conteúdos</w:t>
      </w:r>
    </w:p>
    <w:p w14:paraId="70E6CDA5" w14:textId="77777777" w:rsidR="00C86E7E" w:rsidRPr="009A07C4" w:rsidRDefault="00C86E7E" w:rsidP="00CA1D94">
      <w:pPr>
        <w:jc w:val="both"/>
        <w:rPr>
          <w:rFonts w:ascii="Trebuchet MS" w:hAnsi="Trebuchet MS"/>
          <w:b/>
          <w:sz w:val="20"/>
        </w:rPr>
      </w:pPr>
    </w:p>
    <w:p w14:paraId="616C14DF" w14:textId="77777777" w:rsidR="00C86E7E" w:rsidRPr="009A07C4" w:rsidRDefault="00C86E7E" w:rsidP="00CA1D94">
      <w:pPr>
        <w:jc w:val="both"/>
        <w:rPr>
          <w:rFonts w:ascii="Trebuchet MS" w:hAnsi="Trebuchet MS"/>
          <w:b/>
          <w:sz w:val="20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1134"/>
        <w:gridCol w:w="6804"/>
        <w:gridCol w:w="1312"/>
      </w:tblGrid>
      <w:tr w:rsidR="00C86E7E" w:rsidRPr="00F962A1" w14:paraId="717BBB6C" w14:textId="77777777">
        <w:trPr>
          <w:jc w:val="center"/>
        </w:trPr>
        <w:tc>
          <w:tcPr>
            <w:tcW w:w="1134" w:type="dxa"/>
            <w:vAlign w:val="center"/>
          </w:tcPr>
          <w:p w14:paraId="0A699870" w14:textId="77777777" w:rsidR="00C86E7E" w:rsidRPr="00F962A1" w:rsidRDefault="00C86E7E" w:rsidP="00CA1D94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Grupos</w:t>
            </w:r>
          </w:p>
        </w:tc>
        <w:tc>
          <w:tcPr>
            <w:tcW w:w="6804" w:type="dxa"/>
            <w:vAlign w:val="center"/>
          </w:tcPr>
          <w:p w14:paraId="1009C9F8" w14:textId="77777777" w:rsidR="00C86E7E" w:rsidRPr="00F962A1" w:rsidRDefault="00C86E7E" w:rsidP="00CA1D94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Conteúdos</w:t>
            </w:r>
          </w:p>
        </w:tc>
        <w:tc>
          <w:tcPr>
            <w:tcW w:w="1312" w:type="dxa"/>
            <w:vAlign w:val="center"/>
          </w:tcPr>
          <w:p w14:paraId="6295FB4B" w14:textId="77777777" w:rsidR="00C86E7E" w:rsidRPr="00F962A1" w:rsidRDefault="00C86E7E" w:rsidP="00CA1D94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Cotação</w:t>
            </w:r>
          </w:p>
          <w:p w14:paraId="2ED66209" w14:textId="77777777" w:rsidR="00C86E7E" w:rsidRPr="00F962A1" w:rsidRDefault="00C86E7E" w:rsidP="00CA1D94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F962A1">
              <w:rPr>
                <w:rFonts w:ascii="Trebuchet MS" w:hAnsi="Trebuchet MS"/>
                <w:b/>
                <w:i/>
                <w:sz w:val="16"/>
              </w:rPr>
              <w:t>(em pontos)</w:t>
            </w:r>
          </w:p>
        </w:tc>
      </w:tr>
      <w:tr w:rsidR="00C86E7E" w:rsidRPr="00F962A1" w14:paraId="461FBD78" w14:textId="77777777">
        <w:trPr>
          <w:jc w:val="center"/>
        </w:trPr>
        <w:tc>
          <w:tcPr>
            <w:tcW w:w="1134" w:type="dxa"/>
            <w:vAlign w:val="center"/>
          </w:tcPr>
          <w:p w14:paraId="32D21B5E" w14:textId="77777777" w:rsidR="00C86E7E" w:rsidRPr="00F962A1" w:rsidRDefault="00C86E7E" w:rsidP="00CA1D94">
            <w:pPr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</w:t>
            </w:r>
          </w:p>
        </w:tc>
        <w:tc>
          <w:tcPr>
            <w:tcW w:w="6804" w:type="dxa"/>
          </w:tcPr>
          <w:p w14:paraId="4170A5D0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1. A revolução americana, uma revolução fundadora</w:t>
            </w:r>
          </w:p>
          <w:p w14:paraId="1995ED0A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B42A0F">
              <w:rPr>
                <w:rFonts w:ascii="Trebuchet MS" w:hAnsi="Trebuchet MS"/>
                <w:sz w:val="16"/>
                <w:szCs w:val="18"/>
              </w:rPr>
              <w:t>- Nascimento de uma nação sob a égide dos ideais iluministas.</w:t>
            </w:r>
          </w:p>
          <w:p w14:paraId="27B34F42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</w:p>
          <w:p w14:paraId="24F45A6A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2. A revolução francesa – paradigma das revoluções liberais e burguesas</w:t>
            </w:r>
          </w:p>
          <w:p w14:paraId="4D3D5A44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2.1. A França nas vésperas da revolução.</w:t>
            </w:r>
          </w:p>
          <w:p w14:paraId="45BCC0AA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2.2. Da Nação soberana ao triunfo da revolução burguesa</w:t>
            </w:r>
            <w:r w:rsidRPr="00B42A0F">
              <w:rPr>
                <w:rFonts w:ascii="Trebuchet MS" w:hAnsi="Trebuchet MS"/>
                <w:sz w:val="16"/>
                <w:szCs w:val="18"/>
              </w:rPr>
              <w:t>: a desagregação da ordem social de Antigo Regime; a monarquia constitucional; a obra da Convenção; o regresso à paz civil e a nova ordem institucional e jurídica.</w:t>
            </w:r>
          </w:p>
          <w:p w14:paraId="75380B0D" w14:textId="77777777" w:rsidR="00C86E7E" w:rsidRPr="00B42A0F" w:rsidRDefault="00C86E7E" w:rsidP="00CA1D94">
            <w:pPr>
              <w:jc w:val="both"/>
              <w:rPr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020CF500" w14:textId="77777777" w:rsidR="00C86E7E" w:rsidRPr="00F962A1" w:rsidRDefault="00C86E7E" w:rsidP="00CA1D9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</w:rPr>
            </w:pPr>
            <w:r w:rsidRPr="00F962A1">
              <w:rPr>
                <w:rFonts w:ascii="Trebuchet MS" w:hAnsi="Trebuchet MS"/>
                <w:color w:val="000000"/>
                <w:sz w:val="16"/>
                <w:szCs w:val="20"/>
              </w:rPr>
              <w:t>60 pontos</w:t>
            </w:r>
          </w:p>
        </w:tc>
      </w:tr>
      <w:tr w:rsidR="00C86E7E" w:rsidRPr="00F962A1" w14:paraId="23FE2301" w14:textId="77777777">
        <w:trPr>
          <w:jc w:val="center"/>
        </w:trPr>
        <w:tc>
          <w:tcPr>
            <w:tcW w:w="1134" w:type="dxa"/>
            <w:vAlign w:val="center"/>
          </w:tcPr>
          <w:p w14:paraId="4AB46E7A" w14:textId="77777777" w:rsidR="00C86E7E" w:rsidRPr="00F962A1" w:rsidRDefault="00C86E7E" w:rsidP="00CA1D94">
            <w:pPr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II</w:t>
            </w:r>
          </w:p>
        </w:tc>
        <w:tc>
          <w:tcPr>
            <w:tcW w:w="6804" w:type="dxa"/>
          </w:tcPr>
          <w:p w14:paraId="06FF0C8D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3. A geografia dos movimentos revolucionários na primeira metade do século XIX: as vagas revolucionárias liberais e nacionais.</w:t>
            </w:r>
          </w:p>
          <w:p w14:paraId="0191229E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b/>
                <w:sz w:val="16"/>
                <w:szCs w:val="18"/>
              </w:rPr>
            </w:pPr>
          </w:p>
          <w:p w14:paraId="37E9AD03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4. A implantação do liberalismo em Portugal</w:t>
            </w:r>
          </w:p>
          <w:p w14:paraId="1A9F2CFA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4.1. Antecedentes e conjuntura (1807 a 1820).</w:t>
            </w:r>
          </w:p>
          <w:p w14:paraId="678D2C70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 xml:space="preserve">4.2. A revolução de 1820 </w:t>
            </w:r>
            <w:r w:rsidRPr="00B42A0F">
              <w:rPr>
                <w:rFonts w:ascii="Trebuchet MS" w:hAnsi="Trebuchet MS"/>
                <w:sz w:val="16"/>
                <w:szCs w:val="18"/>
              </w:rPr>
              <w:t>e as dificuldades de implantação da ordem liberal (1820-1834); precariedade da legislação</w:t>
            </w:r>
            <w:r w:rsidRPr="00B42A0F">
              <w:rPr>
                <w:sz w:val="16"/>
                <w:szCs w:val="18"/>
              </w:rPr>
              <w:t xml:space="preserve"> </w:t>
            </w:r>
            <w:r w:rsidRPr="00B42A0F">
              <w:rPr>
                <w:rFonts w:ascii="Trebuchet MS" w:hAnsi="Trebuchet MS"/>
                <w:sz w:val="16"/>
                <w:szCs w:val="18"/>
              </w:rPr>
              <w:t>vintista de carácter socioeconómico; desagregação do império atlântico. Constituição de 1822 e Carta Constitucional de 1826.</w:t>
            </w:r>
          </w:p>
          <w:p w14:paraId="2DEEB8AE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4.3. O novo ordenamento político e socioeconómico (1834-1851)</w:t>
            </w:r>
            <w:r w:rsidRPr="00B42A0F">
              <w:rPr>
                <w:rFonts w:ascii="Trebuchet MS" w:hAnsi="Trebuchet MS"/>
                <w:sz w:val="16"/>
                <w:szCs w:val="18"/>
              </w:rPr>
              <w:t>: importância da legislação de Mouzinho da Silveira e dos projectos setembrista e cabralista.</w:t>
            </w:r>
          </w:p>
          <w:p w14:paraId="3A2FA595" w14:textId="77777777" w:rsidR="00C86E7E" w:rsidRPr="00B42A0F" w:rsidRDefault="00C86E7E" w:rsidP="00CA1D94">
            <w:pPr>
              <w:jc w:val="both"/>
              <w:rPr>
                <w:b/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50F00BB6" w14:textId="77777777" w:rsidR="00C86E7E" w:rsidRPr="00F962A1" w:rsidRDefault="00C86E7E" w:rsidP="00CA1D94">
            <w:pPr>
              <w:widowControl w:val="0"/>
              <w:autoSpaceDE w:val="0"/>
              <w:autoSpaceDN w:val="0"/>
              <w:adjustRightInd w:val="0"/>
              <w:spacing w:before="40"/>
              <w:jc w:val="center"/>
              <w:rPr>
                <w:sz w:val="16"/>
              </w:rPr>
            </w:pPr>
            <w:r w:rsidRPr="00F962A1">
              <w:rPr>
                <w:rFonts w:ascii="Trebuchet MS" w:hAnsi="Trebuchet MS"/>
                <w:color w:val="000000"/>
                <w:sz w:val="16"/>
                <w:szCs w:val="20"/>
              </w:rPr>
              <w:t>80 pontos</w:t>
            </w:r>
          </w:p>
        </w:tc>
      </w:tr>
      <w:tr w:rsidR="00C86E7E" w:rsidRPr="00F962A1" w14:paraId="4624CC5A" w14:textId="77777777">
        <w:trPr>
          <w:jc w:val="center"/>
        </w:trPr>
        <w:tc>
          <w:tcPr>
            <w:tcW w:w="1134" w:type="dxa"/>
            <w:vAlign w:val="center"/>
          </w:tcPr>
          <w:p w14:paraId="6791A7B1" w14:textId="77777777" w:rsidR="00C86E7E" w:rsidRPr="00F962A1" w:rsidRDefault="00C86E7E" w:rsidP="00CA1D9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rebuchet MS" w:hAnsi="Trebuchet MS"/>
                <w:b/>
                <w:sz w:val="16"/>
              </w:rPr>
            </w:pPr>
            <w:r w:rsidRPr="00F962A1">
              <w:rPr>
                <w:rFonts w:ascii="Trebuchet MS" w:hAnsi="Trebuchet MS"/>
                <w:b/>
                <w:sz w:val="16"/>
              </w:rPr>
              <w:t>III</w:t>
            </w:r>
          </w:p>
        </w:tc>
        <w:tc>
          <w:tcPr>
            <w:tcW w:w="6804" w:type="dxa"/>
          </w:tcPr>
          <w:p w14:paraId="59DB1255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8"/>
              </w:rPr>
            </w:pPr>
            <w:r w:rsidRPr="00B42A0F">
              <w:rPr>
                <w:rFonts w:ascii="Trebuchet MS" w:hAnsi="Trebuchet MS"/>
                <w:b/>
                <w:sz w:val="16"/>
                <w:szCs w:val="18"/>
              </w:rPr>
              <w:t>5. O legado do liberalismo na primeira metade do século XIX</w:t>
            </w:r>
          </w:p>
          <w:p w14:paraId="445B2956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5.1. O Estado como garante da ordem liberal</w:t>
            </w:r>
            <w:r w:rsidRPr="00B42A0F">
              <w:rPr>
                <w:rFonts w:ascii="Trebuchet MS" w:hAnsi="Trebuchet MS"/>
                <w:sz w:val="16"/>
                <w:szCs w:val="18"/>
              </w:rPr>
              <w:t>; a secularização das instituições; o cidadão, actor político. O direito à propriedade e à livre iniciativa. Os limites da universalidade dos direitos humanos: a problemática da abolição da escravatura.</w:t>
            </w:r>
          </w:p>
          <w:p w14:paraId="784D95A4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6"/>
                <w:szCs w:val="18"/>
              </w:rPr>
            </w:pPr>
            <w:r w:rsidRPr="001C01EA">
              <w:rPr>
                <w:rFonts w:ascii="Trebuchet MS" w:hAnsi="Trebuchet MS"/>
                <w:b/>
                <w:i/>
                <w:sz w:val="16"/>
                <w:szCs w:val="18"/>
              </w:rPr>
              <w:t>5.2. O romantismo, expressão da ideologia liberal</w:t>
            </w:r>
            <w:r w:rsidRPr="00B42A0F">
              <w:rPr>
                <w:rFonts w:ascii="Trebuchet MS" w:hAnsi="Trebuchet MS"/>
                <w:sz w:val="16"/>
                <w:szCs w:val="18"/>
              </w:rPr>
              <w:t>: revalorização das raízes históricas das nacionalidades; exaltação da liberdade; a explosão do sentimento nas artes plásticas, na literatura e na música.</w:t>
            </w:r>
          </w:p>
          <w:p w14:paraId="5372A6C5" w14:textId="77777777" w:rsidR="00C86E7E" w:rsidRPr="00B42A0F" w:rsidRDefault="00C86E7E" w:rsidP="00CA1D94">
            <w:pPr>
              <w:widowControl w:val="0"/>
              <w:autoSpaceDE w:val="0"/>
              <w:autoSpaceDN w:val="0"/>
              <w:adjustRightInd w:val="0"/>
              <w:jc w:val="both"/>
              <w:rPr>
                <w:sz w:val="16"/>
                <w:szCs w:val="18"/>
              </w:rPr>
            </w:pPr>
          </w:p>
        </w:tc>
        <w:tc>
          <w:tcPr>
            <w:tcW w:w="1312" w:type="dxa"/>
            <w:vAlign w:val="center"/>
          </w:tcPr>
          <w:p w14:paraId="7074A682" w14:textId="77777777" w:rsidR="00C86E7E" w:rsidRPr="00F962A1" w:rsidRDefault="00C86E7E" w:rsidP="00CA1D94">
            <w:pPr>
              <w:jc w:val="center"/>
              <w:rPr>
                <w:color w:val="000000"/>
                <w:sz w:val="16"/>
              </w:rPr>
            </w:pPr>
            <w:r w:rsidRPr="00F962A1">
              <w:rPr>
                <w:rFonts w:ascii="Trebuchet MS" w:hAnsi="Trebuchet MS"/>
                <w:sz w:val="16"/>
              </w:rPr>
              <w:t>60 pontos</w:t>
            </w:r>
          </w:p>
        </w:tc>
      </w:tr>
    </w:tbl>
    <w:p w14:paraId="0CC06DBE" w14:textId="77777777" w:rsidR="00C86E7E" w:rsidRPr="009A07C4" w:rsidRDefault="00C86E7E" w:rsidP="00CA1D94">
      <w:pPr>
        <w:jc w:val="both"/>
        <w:rPr>
          <w:rFonts w:ascii="Trebuchet MS" w:hAnsi="Trebuchet MS"/>
          <w:b/>
          <w:sz w:val="20"/>
        </w:rPr>
      </w:pPr>
    </w:p>
    <w:p w14:paraId="4D3ECBB8" w14:textId="77777777" w:rsidR="00C86E7E" w:rsidRPr="009A07C4" w:rsidRDefault="00C86E7E" w:rsidP="00CA1D94">
      <w:pPr>
        <w:jc w:val="both"/>
        <w:rPr>
          <w:rFonts w:ascii="Trebuchet MS" w:hAnsi="Trebuchet MS"/>
          <w:b/>
          <w:sz w:val="20"/>
        </w:rPr>
      </w:pPr>
    </w:p>
    <w:p w14:paraId="7D1A266F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 A prova é cotada para 200 pontos.</w:t>
      </w:r>
    </w:p>
    <w:p w14:paraId="6F41734C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</w:p>
    <w:p w14:paraId="3CF117EE" w14:textId="77777777" w:rsidR="00C86E7E" w:rsidRDefault="00C86E7E" w:rsidP="00003D90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 xml:space="preserve">2.3. Itens: tipologia, número e cotação </w:t>
      </w:r>
    </w:p>
    <w:p w14:paraId="082FDFE7" w14:textId="77777777" w:rsidR="00632CA0" w:rsidRDefault="00632CA0" w:rsidP="00003D90">
      <w:pPr>
        <w:jc w:val="both"/>
        <w:rPr>
          <w:rFonts w:ascii="Trebuchet MS" w:hAnsi="Trebuchet MS"/>
          <w:sz w:val="20"/>
        </w:rPr>
      </w:pPr>
    </w:p>
    <w:p w14:paraId="2FAD5D9C" w14:textId="77777777" w:rsidR="00632CA0" w:rsidRDefault="00632CA0" w:rsidP="00003D90">
      <w:pPr>
        <w:jc w:val="both"/>
        <w:rPr>
          <w:rFonts w:ascii="Trebuchet MS" w:hAnsi="Trebuchet MS"/>
          <w:sz w:val="20"/>
        </w:rPr>
      </w:pPr>
    </w:p>
    <w:tbl>
      <w:tblPr>
        <w:tblStyle w:val="TableGrid"/>
        <w:tblW w:w="0" w:type="auto"/>
        <w:jc w:val="center"/>
        <w:tblLook w:val="00A0" w:firstRow="1" w:lastRow="0" w:firstColumn="1" w:lastColumn="0" w:noHBand="0" w:noVBand="0"/>
      </w:tblPr>
      <w:tblGrid>
        <w:gridCol w:w="2268"/>
        <w:gridCol w:w="2268"/>
        <w:gridCol w:w="1705"/>
        <w:gridCol w:w="1276"/>
      </w:tblGrid>
      <w:tr w:rsidR="00632CA0" w:rsidRPr="001A4E56" w14:paraId="1FC3A91C" w14:textId="77777777" w:rsidTr="00083E45">
        <w:trPr>
          <w:jc w:val="center"/>
        </w:trPr>
        <w:tc>
          <w:tcPr>
            <w:tcW w:w="4536" w:type="dxa"/>
            <w:gridSpan w:val="2"/>
            <w:vAlign w:val="center"/>
          </w:tcPr>
          <w:p w14:paraId="28ED0875" w14:textId="77777777" w:rsidR="00632CA0" w:rsidRPr="001A4E56" w:rsidRDefault="00632CA0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Tipologia de itens</w:t>
            </w:r>
          </w:p>
        </w:tc>
        <w:tc>
          <w:tcPr>
            <w:tcW w:w="1705" w:type="dxa"/>
            <w:vAlign w:val="center"/>
          </w:tcPr>
          <w:p w14:paraId="286A41BA" w14:textId="77777777" w:rsidR="00632CA0" w:rsidRPr="001A4E56" w:rsidRDefault="00632CA0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Número de itens</w:t>
            </w:r>
          </w:p>
          <w:p w14:paraId="0F685284" w14:textId="77777777" w:rsidR="00632CA0" w:rsidRPr="001A4E56" w:rsidRDefault="00632CA0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</w:p>
        </w:tc>
        <w:tc>
          <w:tcPr>
            <w:tcW w:w="1276" w:type="dxa"/>
            <w:vAlign w:val="center"/>
          </w:tcPr>
          <w:p w14:paraId="3032528B" w14:textId="77777777" w:rsidR="00632CA0" w:rsidRPr="001A4E56" w:rsidRDefault="00632CA0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 xml:space="preserve">Cotação </w:t>
            </w:r>
          </w:p>
          <w:p w14:paraId="15956801" w14:textId="77777777" w:rsidR="00632CA0" w:rsidRPr="001A4E56" w:rsidRDefault="00632CA0" w:rsidP="00083E45">
            <w:pPr>
              <w:jc w:val="center"/>
              <w:rPr>
                <w:rFonts w:ascii="Trebuchet MS" w:hAnsi="Trebuchet MS"/>
                <w:b/>
                <w:i/>
                <w:sz w:val="16"/>
              </w:rPr>
            </w:pPr>
            <w:r w:rsidRPr="001A4E56">
              <w:rPr>
                <w:rFonts w:ascii="Trebuchet MS" w:hAnsi="Trebuchet MS"/>
                <w:b/>
                <w:i/>
                <w:sz w:val="16"/>
              </w:rPr>
              <w:t>(em pontos)</w:t>
            </w:r>
          </w:p>
        </w:tc>
      </w:tr>
      <w:tr w:rsidR="00632CA0" w:rsidRPr="001A4E56" w14:paraId="7636E6D7" w14:textId="77777777" w:rsidTr="00083E45">
        <w:trPr>
          <w:trHeight w:val="284"/>
          <w:jc w:val="center"/>
        </w:trPr>
        <w:tc>
          <w:tcPr>
            <w:tcW w:w="2268" w:type="dxa"/>
            <w:vMerge w:val="restart"/>
            <w:vAlign w:val="center"/>
          </w:tcPr>
          <w:p w14:paraId="303B5A3C" w14:textId="77777777" w:rsidR="00632CA0" w:rsidRPr="00C92707" w:rsidRDefault="00632CA0" w:rsidP="00083E45">
            <w:pPr>
              <w:jc w:val="center"/>
            </w:pPr>
            <w:r w:rsidRPr="001A4E56">
              <w:rPr>
                <w:rFonts w:ascii="Trebuchet MS" w:hAnsi="Trebuchet MS"/>
                <w:sz w:val="16"/>
              </w:rPr>
              <w:t>Itens de construção</w:t>
            </w:r>
          </w:p>
        </w:tc>
        <w:tc>
          <w:tcPr>
            <w:tcW w:w="2268" w:type="dxa"/>
            <w:vAlign w:val="center"/>
          </w:tcPr>
          <w:p w14:paraId="70017913" w14:textId="77777777" w:rsidR="00632CA0" w:rsidRPr="001A4E56" w:rsidRDefault="00632CA0" w:rsidP="00083E45">
            <w:pPr>
              <w:jc w:val="both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Resposta restrita</w:t>
            </w:r>
          </w:p>
        </w:tc>
        <w:tc>
          <w:tcPr>
            <w:tcW w:w="1705" w:type="dxa"/>
            <w:vAlign w:val="center"/>
          </w:tcPr>
          <w:p w14:paraId="038EC079" w14:textId="77777777" w:rsidR="00632CA0" w:rsidRPr="001A4E56" w:rsidRDefault="00632CA0" w:rsidP="00083E45">
            <w:pPr>
              <w:jc w:val="center"/>
              <w:rPr>
                <w:rFonts w:ascii="Trebuchet MS" w:hAnsi="Trebuchet MS"/>
                <w:sz w:val="16"/>
              </w:rPr>
            </w:pPr>
            <w:r>
              <w:rPr>
                <w:rFonts w:ascii="Trebuchet MS" w:hAnsi="Trebuchet MS"/>
                <w:sz w:val="16"/>
              </w:rPr>
              <w:t>5</w:t>
            </w:r>
          </w:p>
        </w:tc>
        <w:tc>
          <w:tcPr>
            <w:tcW w:w="1276" w:type="dxa"/>
            <w:vAlign w:val="center"/>
          </w:tcPr>
          <w:p w14:paraId="167A8B18" w14:textId="77777777" w:rsidR="00632CA0" w:rsidRPr="001A4E56" w:rsidRDefault="00632CA0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30</w:t>
            </w:r>
          </w:p>
        </w:tc>
      </w:tr>
      <w:tr w:rsidR="00632CA0" w:rsidRPr="001A4E56" w14:paraId="37FD8AF9" w14:textId="77777777" w:rsidTr="00083E45">
        <w:trPr>
          <w:trHeight w:val="284"/>
          <w:jc w:val="center"/>
        </w:trPr>
        <w:tc>
          <w:tcPr>
            <w:tcW w:w="2268" w:type="dxa"/>
            <w:vMerge/>
            <w:vAlign w:val="center"/>
          </w:tcPr>
          <w:p w14:paraId="3342BF1E" w14:textId="77777777" w:rsidR="00632CA0" w:rsidRPr="001A4E56" w:rsidRDefault="00632CA0" w:rsidP="00083E45">
            <w:pPr>
              <w:jc w:val="both"/>
              <w:rPr>
                <w:rFonts w:ascii="Trebuchet MS" w:hAnsi="Trebuchet MS"/>
                <w:sz w:val="16"/>
              </w:rPr>
            </w:pPr>
          </w:p>
        </w:tc>
        <w:tc>
          <w:tcPr>
            <w:tcW w:w="2268" w:type="dxa"/>
            <w:vAlign w:val="center"/>
          </w:tcPr>
          <w:p w14:paraId="22AAA2DD" w14:textId="77777777" w:rsidR="00632CA0" w:rsidRPr="001A4E56" w:rsidRDefault="00632CA0" w:rsidP="00083E45">
            <w:pPr>
              <w:jc w:val="both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Resposta extensa</w:t>
            </w:r>
          </w:p>
        </w:tc>
        <w:tc>
          <w:tcPr>
            <w:tcW w:w="1705" w:type="dxa"/>
            <w:vAlign w:val="center"/>
          </w:tcPr>
          <w:p w14:paraId="0736BE46" w14:textId="77777777" w:rsidR="00632CA0" w:rsidRPr="001A4E56" w:rsidRDefault="00632CA0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1</w:t>
            </w:r>
          </w:p>
        </w:tc>
        <w:tc>
          <w:tcPr>
            <w:tcW w:w="1276" w:type="dxa"/>
            <w:vAlign w:val="center"/>
          </w:tcPr>
          <w:p w14:paraId="5A2E2991" w14:textId="77777777" w:rsidR="00632CA0" w:rsidRPr="001A4E56" w:rsidRDefault="00632CA0" w:rsidP="00083E45">
            <w:pPr>
              <w:jc w:val="center"/>
              <w:rPr>
                <w:rFonts w:ascii="Trebuchet MS" w:hAnsi="Trebuchet MS"/>
                <w:sz w:val="16"/>
              </w:rPr>
            </w:pPr>
            <w:r w:rsidRPr="001A4E56">
              <w:rPr>
                <w:rFonts w:ascii="Trebuchet MS" w:hAnsi="Trebuchet MS"/>
                <w:sz w:val="16"/>
              </w:rPr>
              <w:t>50</w:t>
            </w:r>
          </w:p>
        </w:tc>
      </w:tr>
    </w:tbl>
    <w:p w14:paraId="14C9507F" w14:textId="77777777" w:rsidR="00632CA0" w:rsidRDefault="00632CA0" w:rsidP="00003D90">
      <w:pPr>
        <w:jc w:val="both"/>
        <w:rPr>
          <w:rFonts w:ascii="Trebuchet MS" w:hAnsi="Trebuchet MS"/>
          <w:sz w:val="20"/>
        </w:rPr>
      </w:pPr>
    </w:p>
    <w:p w14:paraId="0A21CA0B" w14:textId="77777777" w:rsidR="00632CA0" w:rsidRPr="009A07C4" w:rsidRDefault="00632CA0" w:rsidP="00003D90">
      <w:pPr>
        <w:jc w:val="both"/>
        <w:rPr>
          <w:rFonts w:ascii="Trebuchet MS" w:hAnsi="Trebuchet MS"/>
          <w:sz w:val="20"/>
        </w:rPr>
      </w:pPr>
    </w:p>
    <w:p w14:paraId="4D50BA6C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</w:p>
    <w:p w14:paraId="2D0CA471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2.3.1. Os itens da prova exigem a análise dos documentos apresentados.</w:t>
      </w:r>
    </w:p>
    <w:p w14:paraId="590D4968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</w:p>
    <w:p w14:paraId="6DC60A1F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2.3.2. Os documentos que constituem suporte de análise para a resposta aos itens podem apresentar perspectivas diferentes e possibilitam o estabelecimento de inter-relações, em ordem ao esclarecimento de uma problemática decorrente de uma ou mais unidades do módulo.</w:t>
      </w:r>
    </w:p>
    <w:p w14:paraId="617F4451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</w:p>
    <w:p w14:paraId="6A6CB768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2.3.3. Nos itens que apresentam a instrução «</w:t>
      </w:r>
      <w:r w:rsidRPr="009A07C4">
        <w:rPr>
          <w:rFonts w:ascii="Trebuchet MS" w:hAnsi="Trebuchet MS"/>
          <w:i/>
          <w:sz w:val="20"/>
        </w:rPr>
        <w:t>com base em</w:t>
      </w:r>
      <w:r w:rsidRPr="009A07C4">
        <w:rPr>
          <w:rFonts w:ascii="Trebuchet MS" w:hAnsi="Trebuchet MS"/>
          <w:sz w:val="20"/>
        </w:rPr>
        <w:t xml:space="preserve">», a construção das respostas deve mobilizar os elementos/dados presentes, explícita ou implicitamente, no(s) documento(s). </w:t>
      </w:r>
    </w:p>
    <w:p w14:paraId="67C504C5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</w:p>
    <w:p w14:paraId="0C54DA4D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2.3.4. Nos itens que apresentam a instrução «</w:t>
      </w:r>
      <w:r w:rsidRPr="009A07C4">
        <w:rPr>
          <w:rFonts w:ascii="Trebuchet MS" w:hAnsi="Trebuchet MS"/>
          <w:i/>
          <w:sz w:val="20"/>
        </w:rPr>
        <w:t>a partir de</w:t>
      </w:r>
      <w:r w:rsidRPr="009A07C4">
        <w:rPr>
          <w:rFonts w:ascii="Trebuchet MS" w:hAnsi="Trebuchet MS"/>
          <w:sz w:val="20"/>
        </w:rPr>
        <w:t>» é igualmente obrigatória a mobilização de dados contidos no(s) documento(s), embora a resposta não se limite a esses elementos.</w:t>
      </w:r>
    </w:p>
    <w:p w14:paraId="2E47828E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</w:p>
    <w:p w14:paraId="08685F7A" w14:textId="77777777" w:rsidR="00C86E7E" w:rsidRPr="009A07C4" w:rsidRDefault="00C86E7E" w:rsidP="00003D90">
      <w:pPr>
        <w:jc w:val="both"/>
        <w:rPr>
          <w:rFonts w:ascii="Trebuchet MS" w:hAnsi="Trebuchet MS"/>
          <w:b/>
          <w:sz w:val="20"/>
        </w:rPr>
      </w:pPr>
    </w:p>
    <w:p w14:paraId="27236F4A" w14:textId="77777777" w:rsidR="00C86E7E" w:rsidRPr="009A07C4" w:rsidRDefault="00C86E7E" w:rsidP="00003D90">
      <w:pPr>
        <w:jc w:val="both"/>
        <w:rPr>
          <w:rFonts w:ascii="Trebuchet MS" w:hAnsi="Trebuchet MS"/>
          <w:b/>
          <w:sz w:val="20"/>
        </w:rPr>
      </w:pPr>
      <w:r w:rsidRPr="009A07C4">
        <w:rPr>
          <w:rFonts w:ascii="Trebuchet MS" w:hAnsi="Trebuchet MS"/>
          <w:b/>
          <w:sz w:val="20"/>
        </w:rPr>
        <w:t>3. Critérios gerais de classificação</w:t>
      </w:r>
    </w:p>
    <w:p w14:paraId="1571248E" w14:textId="77777777" w:rsidR="00C86E7E" w:rsidRPr="009A07C4" w:rsidRDefault="00C86E7E" w:rsidP="00003D90">
      <w:pPr>
        <w:jc w:val="both"/>
        <w:rPr>
          <w:rFonts w:ascii="Trebuchet MS" w:hAnsi="Trebuchet MS"/>
          <w:b/>
          <w:sz w:val="20"/>
        </w:rPr>
      </w:pPr>
    </w:p>
    <w:p w14:paraId="309417AE" w14:textId="77777777" w:rsidR="00C86E7E" w:rsidRPr="00F962A1" w:rsidRDefault="00C86E7E" w:rsidP="00003D90">
      <w:pPr>
        <w:jc w:val="both"/>
        <w:rPr>
          <w:rFonts w:ascii="Trebuchet MS" w:hAnsi="Trebuchet MS"/>
          <w:b/>
          <w:sz w:val="20"/>
        </w:rPr>
      </w:pPr>
      <w:r w:rsidRPr="00F962A1">
        <w:rPr>
          <w:rFonts w:ascii="Trebuchet MS" w:hAnsi="Trebuchet MS"/>
          <w:b/>
          <w:sz w:val="20"/>
        </w:rPr>
        <w:t>3.1. Respostas</w:t>
      </w:r>
    </w:p>
    <w:p w14:paraId="3C5D3B9D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</w:p>
    <w:p w14:paraId="5FC4C1DC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3.1.1. A classificação a atribuir a cada resposta resulta da aplicação dos critérios gerais e dos critérios específicos de classificação apresentados para cada item.</w:t>
      </w:r>
    </w:p>
    <w:p w14:paraId="1A4E0E3C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</w:p>
    <w:p w14:paraId="3F84CA32" w14:textId="77777777" w:rsidR="00C86E7E" w:rsidRDefault="00C86E7E" w:rsidP="00003D90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3.1.2. As respostas ilegíveis ou que não possam ser claramente identificadas são classificadas com zero pontos.</w:t>
      </w:r>
    </w:p>
    <w:p w14:paraId="149952F4" w14:textId="77777777" w:rsidR="00376590" w:rsidRPr="009A07C4" w:rsidRDefault="00376590" w:rsidP="00003D90">
      <w:pPr>
        <w:jc w:val="both"/>
        <w:rPr>
          <w:rFonts w:ascii="Trebuchet MS" w:hAnsi="Trebuchet MS"/>
          <w:sz w:val="20"/>
        </w:rPr>
      </w:pPr>
    </w:p>
    <w:p w14:paraId="644DB50E" w14:textId="77777777" w:rsidR="00C86E7E" w:rsidRPr="009A07C4" w:rsidRDefault="00C86E7E" w:rsidP="00003D90">
      <w:pPr>
        <w:jc w:val="both"/>
        <w:rPr>
          <w:rFonts w:ascii="Trebuchet MS" w:hAnsi="Trebuchet MS"/>
          <w:sz w:val="20"/>
        </w:rPr>
      </w:pPr>
    </w:p>
    <w:p w14:paraId="591022DF" w14:textId="13216405" w:rsidR="00376590" w:rsidRPr="00CD4083" w:rsidRDefault="00376590" w:rsidP="00376590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b/>
          <w:sz w:val="20"/>
        </w:rPr>
        <w:t xml:space="preserve">3.2. </w:t>
      </w:r>
      <w:r>
        <w:rPr>
          <w:rFonts w:ascii="Trebuchet MS" w:hAnsi="Trebuchet MS"/>
          <w:b/>
          <w:sz w:val="20"/>
        </w:rPr>
        <w:t>Níveis de desempenho</w:t>
      </w:r>
    </w:p>
    <w:p w14:paraId="28A173DD" w14:textId="77777777" w:rsidR="00376590" w:rsidRPr="009A07C4" w:rsidRDefault="00376590" w:rsidP="00376590">
      <w:pPr>
        <w:jc w:val="both"/>
        <w:rPr>
          <w:rFonts w:ascii="Trebuchet MS" w:hAnsi="Trebuchet MS"/>
          <w:sz w:val="20"/>
        </w:rPr>
      </w:pPr>
    </w:p>
    <w:p w14:paraId="54E6B3F5" w14:textId="73B6A476" w:rsidR="00376590" w:rsidRPr="009A07C4" w:rsidRDefault="00376590" w:rsidP="00376590">
      <w:pPr>
        <w:jc w:val="both"/>
        <w:rPr>
          <w:rFonts w:ascii="Trebuchet MS" w:hAnsi="Trebuchet MS"/>
          <w:sz w:val="20"/>
        </w:rPr>
      </w:pPr>
      <w:r w:rsidRPr="009A07C4">
        <w:rPr>
          <w:rFonts w:ascii="Trebuchet MS" w:hAnsi="Trebuchet MS"/>
          <w:sz w:val="20"/>
        </w:rPr>
        <w:t>3.</w:t>
      </w:r>
      <w:r>
        <w:rPr>
          <w:rFonts w:ascii="Trebuchet MS" w:hAnsi="Trebuchet MS"/>
          <w:sz w:val="20"/>
        </w:rPr>
        <w:t>2.1</w:t>
      </w:r>
      <w:r w:rsidRPr="009A07C4">
        <w:rPr>
          <w:rFonts w:ascii="Trebuchet MS" w:hAnsi="Trebuchet MS"/>
          <w:sz w:val="20"/>
        </w:rPr>
        <w:t>.</w:t>
      </w:r>
      <w:r w:rsidRPr="009A07C4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sz w:val="20"/>
        </w:rPr>
        <w:t>O</w:t>
      </w:r>
      <w:r w:rsidRPr="009A07C4">
        <w:rPr>
          <w:rFonts w:ascii="Trebuchet MS" w:hAnsi="Trebuchet MS"/>
          <w:sz w:val="20"/>
        </w:rPr>
        <w:t>s critérios de classificação são organizados por níveis de desempenho. A cada nível de desempenho corresponde uma dada pontuação.</w:t>
      </w:r>
    </w:p>
    <w:p w14:paraId="3192B391" w14:textId="77777777" w:rsidR="00376590" w:rsidRPr="009A07C4" w:rsidRDefault="00376590" w:rsidP="00376590">
      <w:pPr>
        <w:jc w:val="both"/>
        <w:rPr>
          <w:rFonts w:ascii="Trebuchet MS" w:hAnsi="Trebuchet MS"/>
          <w:sz w:val="20"/>
        </w:rPr>
      </w:pPr>
    </w:p>
    <w:p w14:paraId="63FF9B4A" w14:textId="241EBD08" w:rsidR="00376590" w:rsidRPr="009A07C4" w:rsidRDefault="00376590" w:rsidP="00376590">
      <w:pPr>
        <w:jc w:val="both"/>
        <w:rPr>
          <w:rFonts w:ascii="Trebuchet MS" w:hAnsi="Trebuchet MS"/>
          <w:sz w:val="20"/>
        </w:rPr>
      </w:pPr>
      <w:r>
        <w:rPr>
          <w:rFonts w:ascii="Trebuchet MS" w:hAnsi="Trebuchet MS"/>
          <w:sz w:val="20"/>
        </w:rPr>
        <w:t>3.2.2</w:t>
      </w:r>
      <w:r w:rsidRPr="009A07C4">
        <w:rPr>
          <w:rFonts w:ascii="Trebuchet MS" w:hAnsi="Trebuchet MS"/>
          <w:sz w:val="20"/>
        </w:rPr>
        <w:t>.</w:t>
      </w:r>
      <w:r w:rsidRPr="009A07C4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sz w:val="20"/>
        </w:rPr>
        <w:t>A</w:t>
      </w:r>
      <w:r w:rsidRPr="009A07C4">
        <w:rPr>
          <w:rFonts w:ascii="Trebuchet MS" w:hAnsi="Trebuchet MS"/>
          <w:sz w:val="20"/>
        </w:rPr>
        <w:t xml:space="preserve"> classificação traduz a avaliação do desempenho no domínio específico da disciplina e no domínio da comunicação escrita em língua portuguesa.</w:t>
      </w:r>
    </w:p>
    <w:p w14:paraId="65AFB24A" w14:textId="77777777" w:rsidR="00C86E7E" w:rsidRDefault="00C86E7E" w:rsidP="00376590">
      <w:pPr>
        <w:jc w:val="both"/>
        <w:rPr>
          <w:rFonts w:ascii="Trebuchet MS" w:hAnsi="Trebuchet MS"/>
        </w:rPr>
      </w:pPr>
    </w:p>
    <w:p w14:paraId="64968237" w14:textId="77777777" w:rsidR="00376590" w:rsidRPr="00376590" w:rsidRDefault="00376590" w:rsidP="00376590">
      <w:pPr>
        <w:jc w:val="both"/>
        <w:rPr>
          <w:rFonts w:ascii="Calibri" w:hAnsi="Calibri"/>
        </w:rPr>
      </w:pPr>
    </w:p>
    <w:p w14:paraId="7D0E6DD7" w14:textId="77777777" w:rsidR="00376590" w:rsidRPr="00376590" w:rsidRDefault="00376590" w:rsidP="00376590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4"/>
        <w:gridCol w:w="7938"/>
      </w:tblGrid>
      <w:tr w:rsidR="00376590" w:rsidRPr="00376590" w14:paraId="7E2B3D25" w14:textId="77777777" w:rsidTr="00083E45">
        <w:trPr>
          <w:jc w:val="center"/>
        </w:trPr>
        <w:tc>
          <w:tcPr>
            <w:tcW w:w="1134" w:type="dxa"/>
            <w:shd w:val="clear" w:color="auto" w:fill="auto"/>
          </w:tcPr>
          <w:p w14:paraId="2D98C698" w14:textId="77777777" w:rsidR="00376590" w:rsidRPr="00376590" w:rsidRDefault="00376590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  <w:r w:rsidRPr="00376590">
              <w:rPr>
                <w:rFonts w:ascii="Calibri" w:hAnsi="Calibri"/>
                <w:b/>
                <w:i/>
                <w:sz w:val="20"/>
                <w:lang w:bidi="x-none"/>
              </w:rPr>
              <w:t>Níveis</w:t>
            </w:r>
          </w:p>
        </w:tc>
        <w:tc>
          <w:tcPr>
            <w:tcW w:w="7938" w:type="dxa"/>
            <w:shd w:val="clear" w:color="auto" w:fill="auto"/>
          </w:tcPr>
          <w:p w14:paraId="590787DD" w14:textId="77777777" w:rsidR="00376590" w:rsidRPr="00376590" w:rsidRDefault="00376590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  <w:r w:rsidRPr="00376590">
              <w:rPr>
                <w:rFonts w:ascii="Calibri" w:hAnsi="Calibri"/>
                <w:b/>
                <w:i/>
                <w:sz w:val="20"/>
                <w:lang w:bidi="x-none"/>
              </w:rPr>
              <w:t>Descritores</w:t>
            </w:r>
          </w:p>
          <w:p w14:paraId="10F4108A" w14:textId="77777777" w:rsidR="00376590" w:rsidRPr="00376590" w:rsidRDefault="00376590" w:rsidP="00083E45">
            <w:pPr>
              <w:jc w:val="center"/>
              <w:rPr>
                <w:rFonts w:ascii="Calibri" w:hAnsi="Calibri"/>
                <w:b/>
                <w:i/>
                <w:sz w:val="20"/>
                <w:lang w:bidi="x-none"/>
              </w:rPr>
            </w:pPr>
          </w:p>
        </w:tc>
      </w:tr>
      <w:tr w:rsidR="00376590" w:rsidRPr="00376590" w14:paraId="20CF21E2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5BD5AB6D" w14:textId="77777777" w:rsidR="00376590" w:rsidRPr="00376590" w:rsidRDefault="00376590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3</w:t>
            </w:r>
          </w:p>
        </w:tc>
        <w:tc>
          <w:tcPr>
            <w:tcW w:w="7938" w:type="dxa"/>
            <w:shd w:val="clear" w:color="auto" w:fill="auto"/>
          </w:tcPr>
          <w:p w14:paraId="2F1E5F86" w14:textId="77777777" w:rsidR="00376590" w:rsidRPr="00376590" w:rsidRDefault="00376590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bem estruturada, sem erros de sintaxe, de pontuação e/ou de ortografia, ou com erros esporádicos, cuja gravidade não implique perda de inteligibilidade e/ou de sentido.</w:t>
            </w:r>
          </w:p>
          <w:p w14:paraId="3B4352E0" w14:textId="77777777" w:rsidR="00376590" w:rsidRPr="00376590" w:rsidRDefault="00376590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376590" w:rsidRPr="00376590" w14:paraId="042ED467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4553B205" w14:textId="77777777" w:rsidR="00376590" w:rsidRPr="00376590" w:rsidRDefault="00376590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2</w:t>
            </w:r>
          </w:p>
        </w:tc>
        <w:tc>
          <w:tcPr>
            <w:tcW w:w="7938" w:type="dxa"/>
            <w:shd w:val="clear" w:color="auto" w:fill="auto"/>
          </w:tcPr>
          <w:p w14:paraId="36E13844" w14:textId="77777777" w:rsidR="00376590" w:rsidRPr="00376590" w:rsidRDefault="00376590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razoavelmente estruturada, com alguns erros de sintaxe, de pontuação e/ou de ortografia, cuja gravidade não implique perda de inteligibilidade e/ou de sentido.</w:t>
            </w:r>
          </w:p>
          <w:p w14:paraId="7938695C" w14:textId="77777777" w:rsidR="00376590" w:rsidRPr="00376590" w:rsidRDefault="00376590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  <w:tr w:rsidR="00376590" w:rsidRPr="00376590" w14:paraId="040D5C62" w14:textId="77777777" w:rsidTr="00083E45">
        <w:trPr>
          <w:jc w:val="center"/>
        </w:trPr>
        <w:tc>
          <w:tcPr>
            <w:tcW w:w="1134" w:type="dxa"/>
            <w:shd w:val="clear" w:color="auto" w:fill="auto"/>
            <w:vAlign w:val="center"/>
          </w:tcPr>
          <w:p w14:paraId="13972F24" w14:textId="77777777" w:rsidR="00376590" w:rsidRPr="00376590" w:rsidRDefault="00376590" w:rsidP="00083E45">
            <w:pPr>
              <w:jc w:val="center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1</w:t>
            </w:r>
          </w:p>
        </w:tc>
        <w:tc>
          <w:tcPr>
            <w:tcW w:w="7938" w:type="dxa"/>
            <w:shd w:val="clear" w:color="auto" w:fill="auto"/>
          </w:tcPr>
          <w:p w14:paraId="29F822A4" w14:textId="77777777" w:rsidR="00376590" w:rsidRPr="00376590" w:rsidRDefault="00376590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  <w:r w:rsidRPr="00376590">
              <w:rPr>
                <w:rFonts w:ascii="Calibri" w:hAnsi="Calibri"/>
                <w:sz w:val="20"/>
                <w:lang w:bidi="x-none"/>
              </w:rPr>
              <w:t>Composição sem estruturação aparente, com erros graves de sintaxe, de pontuação e/ou de ortografia, cuja gravidade implique perda frequente de inteligibilidade e/ou de sentido.</w:t>
            </w:r>
          </w:p>
          <w:p w14:paraId="2F55A7A6" w14:textId="77777777" w:rsidR="00376590" w:rsidRPr="00376590" w:rsidRDefault="00376590" w:rsidP="00083E45">
            <w:pPr>
              <w:jc w:val="both"/>
              <w:rPr>
                <w:rFonts w:ascii="Calibri" w:hAnsi="Calibri"/>
                <w:sz w:val="20"/>
                <w:lang w:bidi="x-none"/>
              </w:rPr>
            </w:pPr>
          </w:p>
        </w:tc>
      </w:tr>
    </w:tbl>
    <w:p w14:paraId="0F9DBD3F" w14:textId="77777777" w:rsidR="00376590" w:rsidRDefault="00376590" w:rsidP="00376590">
      <w:pPr>
        <w:jc w:val="both"/>
        <w:rPr>
          <w:rFonts w:ascii="Calibri" w:hAnsi="Calibri"/>
          <w:sz w:val="20"/>
          <w:szCs w:val="20"/>
        </w:rPr>
      </w:pPr>
    </w:p>
    <w:p w14:paraId="4A46A423" w14:textId="77777777" w:rsidR="00376590" w:rsidRPr="00376590" w:rsidRDefault="00376590" w:rsidP="00376590">
      <w:pPr>
        <w:jc w:val="both"/>
        <w:rPr>
          <w:rFonts w:ascii="Calibri" w:hAnsi="Calibri"/>
          <w:sz w:val="20"/>
          <w:szCs w:val="20"/>
        </w:rPr>
      </w:pPr>
    </w:p>
    <w:p w14:paraId="3171E2B8" w14:textId="1313B074" w:rsidR="00376590" w:rsidRPr="00376590" w:rsidRDefault="00376590" w:rsidP="00376590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3.2.3. </w:t>
      </w:r>
      <w:r w:rsidRPr="00376590">
        <w:rPr>
          <w:rFonts w:ascii="Trebuchet MS" w:hAnsi="Trebuchet MS"/>
          <w:sz w:val="20"/>
          <w:szCs w:val="20"/>
        </w:rPr>
        <w:t>No caso de a resposta não atingir o nível 1 de desempenho no domínio específico da disciplina, a classificação a atribuir é zero pontos. Neste caso, não é classificado o desempenho no domínio da comunicação escrita em língua portuguesa</w:t>
      </w:r>
    </w:p>
    <w:p w14:paraId="79137599" w14:textId="77777777" w:rsidR="00376590" w:rsidRPr="00376590" w:rsidRDefault="00376590" w:rsidP="00376590">
      <w:pPr>
        <w:jc w:val="both"/>
        <w:rPr>
          <w:rFonts w:ascii="Trebuchet MS" w:hAnsi="Trebuchet MS"/>
          <w:sz w:val="20"/>
          <w:szCs w:val="20"/>
        </w:rPr>
      </w:pPr>
    </w:p>
    <w:p w14:paraId="7A9356BB" w14:textId="53B541B0" w:rsidR="00376590" w:rsidRPr="00376590" w:rsidRDefault="00376590" w:rsidP="00376590">
      <w:pPr>
        <w:jc w:val="both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b/>
          <w:sz w:val="20"/>
          <w:szCs w:val="20"/>
        </w:rPr>
        <w:t>4</w:t>
      </w:r>
      <w:r w:rsidRPr="00376590">
        <w:rPr>
          <w:rFonts w:ascii="Trebuchet MS" w:hAnsi="Trebuchet MS"/>
          <w:b/>
          <w:sz w:val="20"/>
          <w:szCs w:val="20"/>
        </w:rPr>
        <w:t>. Material</w:t>
      </w:r>
    </w:p>
    <w:p w14:paraId="0173305C" w14:textId="77777777" w:rsidR="00376590" w:rsidRPr="00376590" w:rsidRDefault="00376590" w:rsidP="00376590">
      <w:pPr>
        <w:jc w:val="both"/>
        <w:rPr>
          <w:rFonts w:ascii="Trebuchet MS" w:hAnsi="Trebuchet MS"/>
          <w:sz w:val="20"/>
          <w:szCs w:val="20"/>
        </w:rPr>
      </w:pPr>
    </w:p>
    <w:p w14:paraId="3B12E69B" w14:textId="6BA5D247" w:rsidR="00376590" w:rsidRPr="00376590" w:rsidRDefault="00376590" w:rsidP="00376590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4.1. </w:t>
      </w:r>
      <w:r w:rsidRPr="00376590">
        <w:rPr>
          <w:rFonts w:ascii="Trebuchet MS" w:hAnsi="Trebuchet MS"/>
          <w:sz w:val="20"/>
          <w:szCs w:val="20"/>
        </w:rPr>
        <w:t>O aluno apenas pode usar, como material de escrita, caneta ou esferográfica de tinta indelével, azul ou preta.</w:t>
      </w:r>
    </w:p>
    <w:p w14:paraId="5380E9B9" w14:textId="77777777" w:rsidR="00376590" w:rsidRDefault="00376590" w:rsidP="00376590">
      <w:pPr>
        <w:jc w:val="both"/>
        <w:rPr>
          <w:rFonts w:ascii="Trebuchet MS" w:hAnsi="Trebuchet MS"/>
          <w:sz w:val="20"/>
          <w:szCs w:val="20"/>
        </w:rPr>
      </w:pPr>
    </w:p>
    <w:p w14:paraId="5F259017" w14:textId="139348D5" w:rsidR="00376590" w:rsidRPr="00376590" w:rsidRDefault="00376590" w:rsidP="00376590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4.2. </w:t>
      </w:r>
      <w:r w:rsidRPr="00376590">
        <w:rPr>
          <w:rFonts w:ascii="Trebuchet MS" w:hAnsi="Trebuchet MS"/>
          <w:sz w:val="20"/>
          <w:szCs w:val="20"/>
        </w:rPr>
        <w:t>As respostas são registadas em folha própria – a folha de respostas disponível na Escola</w:t>
      </w:r>
    </w:p>
    <w:p w14:paraId="145DD911" w14:textId="77777777" w:rsidR="00376590" w:rsidRDefault="00376590" w:rsidP="00376590">
      <w:pPr>
        <w:jc w:val="both"/>
        <w:rPr>
          <w:rFonts w:ascii="Trebuchet MS" w:hAnsi="Trebuchet MS"/>
          <w:sz w:val="20"/>
          <w:szCs w:val="20"/>
        </w:rPr>
      </w:pPr>
    </w:p>
    <w:p w14:paraId="3F15A81C" w14:textId="6F5D11CD" w:rsidR="00376590" w:rsidRPr="00376590" w:rsidRDefault="00376590" w:rsidP="00376590">
      <w:pPr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4.3. </w:t>
      </w:r>
      <w:r w:rsidRPr="00376590">
        <w:rPr>
          <w:rFonts w:ascii="Trebuchet MS" w:hAnsi="Trebuchet MS"/>
          <w:sz w:val="20"/>
          <w:szCs w:val="20"/>
        </w:rPr>
        <w:t>Não é permitido o uso de corretor.</w:t>
      </w:r>
    </w:p>
    <w:p w14:paraId="3CDF0746" w14:textId="77777777" w:rsidR="00376590" w:rsidRPr="00376590" w:rsidRDefault="00376590" w:rsidP="00376590">
      <w:pPr>
        <w:jc w:val="both"/>
        <w:rPr>
          <w:rFonts w:ascii="Trebuchet MS" w:hAnsi="Trebuchet MS"/>
          <w:sz w:val="20"/>
          <w:szCs w:val="20"/>
        </w:rPr>
      </w:pPr>
    </w:p>
    <w:p w14:paraId="2B9A96C3" w14:textId="77777777" w:rsidR="00376590" w:rsidRPr="009A07C4" w:rsidRDefault="00376590" w:rsidP="00376590">
      <w:pPr>
        <w:jc w:val="both"/>
        <w:rPr>
          <w:rFonts w:ascii="Trebuchet MS" w:hAnsi="Trebuchet MS"/>
        </w:rPr>
      </w:pPr>
    </w:p>
    <w:sectPr w:rsidR="00376590" w:rsidRPr="009A07C4" w:rsidSect="00CA1D94">
      <w:pgSz w:w="11900" w:h="16840"/>
      <w:pgMar w:top="567" w:right="851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97E38"/>
    <w:multiLevelType w:val="multilevel"/>
    <w:tmpl w:val="7C22BA18"/>
    <w:lvl w:ilvl="0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A95725A"/>
    <w:multiLevelType w:val="hybridMultilevel"/>
    <w:tmpl w:val="7C22BA18"/>
    <w:lvl w:ilvl="0" w:tplc="801A4FB6">
      <w:start w:val="1"/>
      <w:numFmt w:val="bullet"/>
      <w:lvlText w:val="•"/>
      <w:lvlJc w:val="left"/>
      <w:pPr>
        <w:tabs>
          <w:tab w:val="num" w:pos="567"/>
        </w:tabs>
        <w:ind w:left="567" w:hanging="170"/>
      </w:pPr>
      <w:rPr>
        <w:rFonts w:ascii="Times New Roman" w:hAnsi="Times New Roman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0D4"/>
    <w:rsid w:val="00376590"/>
    <w:rsid w:val="00632CA0"/>
    <w:rsid w:val="008520D4"/>
    <w:rsid w:val="00952F4F"/>
    <w:rsid w:val="00C8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3E9F5E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7E399F"/>
    <w:pPr>
      <w:keepNext/>
      <w:framePr w:hSpace="141" w:wrap="around" w:hAnchor="margin" w:y="-903"/>
      <w:jc w:val="both"/>
      <w:outlineLvl w:val="4"/>
    </w:pPr>
    <w:rPr>
      <w:b/>
      <w:sz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5B7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632CA0"/>
    <w:rPr>
      <w:rFonts w:ascii="Courier" w:hAnsi="Courier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632CA0"/>
    <w:rPr>
      <w:rFonts w:ascii="Courier" w:hAnsi="Courier"/>
      <w:sz w:val="21"/>
      <w:szCs w:val="21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A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952F4F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52F4F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next w:val="Normal"/>
    <w:qFormat/>
    <w:rsid w:val="007E399F"/>
    <w:pPr>
      <w:keepNext/>
      <w:framePr w:hSpace="141" w:wrap="around" w:hAnchor="margin" w:y="-903"/>
      <w:jc w:val="both"/>
      <w:outlineLvl w:val="4"/>
    </w:pPr>
    <w:rPr>
      <w:b/>
      <w:sz w:val="20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915B7"/>
    <w:rPr>
      <w:lang w:bidi="x-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unhideWhenUsed/>
    <w:rsid w:val="00632CA0"/>
    <w:rPr>
      <w:rFonts w:ascii="Courier" w:hAnsi="Courier"/>
      <w:sz w:val="21"/>
      <w:szCs w:val="21"/>
      <w:lang w:eastAsia="pt-PT"/>
    </w:rPr>
  </w:style>
  <w:style w:type="character" w:customStyle="1" w:styleId="PlainTextChar">
    <w:name w:val="Plain Text Char"/>
    <w:basedOn w:val="DefaultParagraphFont"/>
    <w:link w:val="PlainText"/>
    <w:uiPriority w:val="99"/>
    <w:rsid w:val="00632CA0"/>
    <w:rPr>
      <w:rFonts w:ascii="Courier" w:hAnsi="Courier"/>
      <w:sz w:val="21"/>
      <w:szCs w:val="21"/>
      <w:lang w:eastAsia="pt-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2CA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2CA0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952F4F"/>
    <w:pPr>
      <w:tabs>
        <w:tab w:val="center" w:pos="4252"/>
        <w:tab w:val="right" w:pos="8504"/>
      </w:tabs>
    </w:pPr>
    <w:rPr>
      <w:rFonts w:ascii="Calibri" w:hAnsi="Calibri"/>
      <w:sz w:val="22"/>
      <w:szCs w:val="22"/>
    </w:rPr>
  </w:style>
  <w:style w:type="character" w:customStyle="1" w:styleId="HeaderChar">
    <w:name w:val="Header Char"/>
    <w:basedOn w:val="DefaultParagraphFont"/>
    <w:link w:val="Header"/>
    <w:rsid w:val="00952F4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729</Words>
  <Characters>4160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Objeto de avaliação</vt:lpstr>
    </vt:vector>
  </TitlesOfParts>
  <Company>Fabula Urbis, Lda</Company>
  <LinksUpToDate>false</LinksUpToDate>
  <CharactersWithSpaces>4880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 de avaliação</dc:title>
  <dc:subject/>
  <dc:creator>João Pimentel</dc:creator>
  <cp:keywords/>
  <cp:lastModifiedBy>Fabula Urbis</cp:lastModifiedBy>
  <cp:revision>5</cp:revision>
  <dcterms:created xsi:type="dcterms:W3CDTF">2015-10-04T16:02:00Z</dcterms:created>
  <dcterms:modified xsi:type="dcterms:W3CDTF">2015-10-04T17:10:00Z</dcterms:modified>
</cp:coreProperties>
</file>