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037D7F" w14:paraId="6C5432E5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74F98FC4" w14:textId="77777777" w:rsidR="00037D7F" w:rsidRDefault="00037D7F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6C1291A8" wp14:editId="1F6AD597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250D4B37" w14:textId="77777777" w:rsidR="00037D7F" w:rsidRPr="00FA4175" w:rsidRDefault="00037D7F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0A0B3DF2" w14:textId="77777777" w:rsidR="00037D7F" w:rsidRDefault="00037D7F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037D7F" w:rsidRPr="00037D7F" w14:paraId="2E283E71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75316E0E" w14:textId="77777777" w:rsidR="00037D7F" w:rsidRPr="00037D7F" w:rsidRDefault="00037D7F" w:rsidP="00083E45">
            <w:pPr>
              <w:jc w:val="center"/>
              <w:rPr>
                <w:rFonts w:ascii="Calibri" w:hAnsi="Calibri"/>
              </w:rPr>
            </w:pPr>
            <w:r w:rsidRPr="00037D7F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090C98F" wp14:editId="2D916CA2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0457FA76" w14:textId="77777777" w:rsidR="00037D7F" w:rsidRPr="00037D7F" w:rsidRDefault="00037D7F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037D7F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3E303F95" w14:textId="77777777" w:rsidR="00037D7F" w:rsidRPr="00037D7F" w:rsidRDefault="00037D7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5C04123E" w14:textId="77777777" w:rsidR="00037D7F" w:rsidRPr="00037D7F" w:rsidRDefault="00037D7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037D7F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233CA992" w14:textId="77777777" w:rsidR="00037D7F" w:rsidRPr="00037D7F" w:rsidRDefault="00037D7F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037D7F">
              <w:rPr>
                <w:b/>
                <w:sz w:val="18"/>
                <w:szCs w:val="18"/>
              </w:rPr>
              <w:t>Avaliação em regime Não Presencial</w:t>
            </w:r>
          </w:p>
          <w:p w14:paraId="6941FFBB" w14:textId="77777777" w:rsidR="00037D7F" w:rsidRPr="00037D7F" w:rsidRDefault="00037D7F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23FCA3E5" w14:textId="77777777" w:rsidR="00037D7F" w:rsidRPr="00037D7F" w:rsidRDefault="00037D7F" w:rsidP="00083E45">
            <w:pPr>
              <w:jc w:val="center"/>
              <w:rPr>
                <w:rFonts w:ascii="Calibri" w:hAnsi="Calibri"/>
              </w:rPr>
            </w:pPr>
            <w:r w:rsidRPr="00037D7F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037D7F" w:rsidRPr="00037D7F" w14:paraId="146E71DB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58F03C02" w14:textId="77777777" w:rsidR="00037D7F" w:rsidRPr="00037D7F" w:rsidRDefault="00037D7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37D7F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133AF318" w14:textId="77777777" w:rsidR="00037D7F" w:rsidRPr="00037D7F" w:rsidRDefault="00037D7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37D7F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578C9571" w14:textId="3F015C17" w:rsidR="00037D7F" w:rsidRPr="00037D7F" w:rsidRDefault="00037D7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37D7F">
              <w:rPr>
                <w:rFonts w:ascii="Calibri" w:hAnsi="Calibri"/>
                <w:b/>
                <w:sz w:val="16"/>
                <w:szCs w:val="16"/>
              </w:rPr>
              <w:t>Módulo 6</w:t>
            </w:r>
          </w:p>
        </w:tc>
        <w:tc>
          <w:tcPr>
            <w:tcW w:w="2467" w:type="dxa"/>
            <w:vAlign w:val="center"/>
          </w:tcPr>
          <w:p w14:paraId="474DF2F5" w14:textId="3236C502" w:rsidR="00037D7F" w:rsidRPr="00037D7F" w:rsidRDefault="00037D7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37D7F">
              <w:rPr>
                <w:rFonts w:ascii="Calibri" w:hAnsi="Calibri"/>
                <w:b/>
                <w:sz w:val="16"/>
                <w:szCs w:val="16"/>
              </w:rPr>
              <w:t>Duração da Prova: 90 m</w:t>
            </w:r>
          </w:p>
        </w:tc>
      </w:tr>
    </w:tbl>
    <w:p w14:paraId="2E77B228" w14:textId="77777777" w:rsidR="0008018C" w:rsidRDefault="0008018C" w:rsidP="00037D7F">
      <w:pPr>
        <w:jc w:val="center"/>
        <w:rPr>
          <w:rFonts w:ascii="Trebuchet MS" w:hAnsi="Trebuchet MS"/>
          <w:sz w:val="20"/>
        </w:rPr>
      </w:pPr>
    </w:p>
    <w:p w14:paraId="40FA879E" w14:textId="77777777" w:rsidR="0008018C" w:rsidRPr="009A07C4" w:rsidRDefault="0008018C" w:rsidP="00CA1D94">
      <w:pPr>
        <w:jc w:val="center"/>
        <w:rPr>
          <w:rFonts w:ascii="Trebuchet MS" w:hAnsi="Trebuchet MS"/>
          <w:sz w:val="20"/>
        </w:rPr>
      </w:pPr>
    </w:p>
    <w:p w14:paraId="66317F21" w14:textId="77777777" w:rsidR="0008018C" w:rsidRPr="00FE4DFE" w:rsidRDefault="0008018C" w:rsidP="00CA1D94">
      <w:pPr>
        <w:jc w:val="center"/>
        <w:rPr>
          <w:rFonts w:ascii="Trebuchet MS" w:hAnsi="Trebuchet MS"/>
          <w:b/>
          <w:sz w:val="20"/>
        </w:rPr>
      </w:pPr>
    </w:p>
    <w:p w14:paraId="13E700D0" w14:textId="77777777" w:rsidR="0008018C" w:rsidRPr="001C01EA" w:rsidRDefault="0008018C" w:rsidP="00CA1D9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18"/>
        </w:rPr>
      </w:pPr>
      <w:r w:rsidRPr="001C01EA">
        <w:rPr>
          <w:rFonts w:ascii="Trebuchet MS" w:hAnsi="Trebuchet MS"/>
          <w:b/>
          <w:sz w:val="20"/>
          <w:szCs w:val="18"/>
        </w:rPr>
        <w:t>Módulo 6: A Civilização Industrial – Economia e sociedade; nacionalismos e choques imperialistas.</w:t>
      </w:r>
    </w:p>
    <w:p w14:paraId="2016EDA7" w14:textId="77777777" w:rsidR="0008018C" w:rsidRPr="009A07C4" w:rsidRDefault="0008018C" w:rsidP="00CA1D94">
      <w:pPr>
        <w:jc w:val="both"/>
        <w:rPr>
          <w:rFonts w:ascii="Trebuchet MS" w:hAnsi="Trebuchet MS"/>
          <w:sz w:val="20"/>
        </w:rPr>
      </w:pPr>
    </w:p>
    <w:p w14:paraId="2AA7DB16" w14:textId="77777777" w:rsidR="0008018C" w:rsidRPr="009A07C4" w:rsidRDefault="0008018C" w:rsidP="00CA1D94">
      <w:pPr>
        <w:jc w:val="both"/>
        <w:rPr>
          <w:rFonts w:ascii="Trebuchet MS" w:hAnsi="Trebuchet MS"/>
          <w:sz w:val="20"/>
        </w:rPr>
      </w:pPr>
    </w:p>
    <w:p w14:paraId="048CB669" w14:textId="77777777" w:rsidR="0008018C" w:rsidRPr="009A07C4" w:rsidRDefault="0008018C" w:rsidP="00CA1D9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 módulo 6 do Programa de História A. </w:t>
      </w:r>
    </w:p>
    <w:p w14:paraId="253E7E56" w14:textId="77777777" w:rsidR="0008018C" w:rsidRPr="009A07C4" w:rsidRDefault="0008018C" w:rsidP="00CA1D94">
      <w:pPr>
        <w:jc w:val="both"/>
        <w:rPr>
          <w:rFonts w:ascii="Trebuchet MS" w:hAnsi="Trebuchet MS"/>
          <w:sz w:val="20"/>
        </w:rPr>
      </w:pPr>
    </w:p>
    <w:p w14:paraId="698178D0" w14:textId="77777777" w:rsidR="0008018C" w:rsidRPr="009A07C4" w:rsidRDefault="0008018C" w:rsidP="00313D90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2704C005" w14:textId="77777777" w:rsidR="0008018C" w:rsidRPr="009A07C4" w:rsidRDefault="0008018C" w:rsidP="00313D90">
      <w:pPr>
        <w:jc w:val="both"/>
        <w:rPr>
          <w:rFonts w:ascii="Trebuchet MS" w:hAnsi="Trebuchet MS"/>
          <w:sz w:val="20"/>
        </w:rPr>
      </w:pPr>
    </w:p>
    <w:p w14:paraId="7C474E57" w14:textId="77777777" w:rsidR="0008018C" w:rsidRPr="002C7A63" w:rsidRDefault="0008018C" w:rsidP="00313D90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2.1. Duração: A prova tem a duração de 90 minutos.</w:t>
      </w:r>
    </w:p>
    <w:p w14:paraId="5695473B" w14:textId="77777777" w:rsidR="0008018C" w:rsidRPr="009A07C4" w:rsidRDefault="0008018C" w:rsidP="00313D90">
      <w:pPr>
        <w:jc w:val="both"/>
        <w:rPr>
          <w:rFonts w:ascii="Trebuchet MS" w:hAnsi="Trebuchet MS"/>
          <w:b/>
          <w:sz w:val="20"/>
        </w:rPr>
      </w:pPr>
    </w:p>
    <w:p w14:paraId="5514CD22" w14:textId="0A6A0A4B" w:rsidR="0008018C" w:rsidRPr="00702CFD" w:rsidRDefault="0008018C" w:rsidP="00CA1D94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2.2. Conteúdos</w:t>
      </w:r>
    </w:p>
    <w:p w14:paraId="1A0E7A07" w14:textId="77777777" w:rsidR="0008018C" w:rsidRPr="009A07C4" w:rsidRDefault="0008018C" w:rsidP="00CA1D94">
      <w:pPr>
        <w:jc w:val="both"/>
        <w:rPr>
          <w:rFonts w:ascii="Trebuchet MS" w:hAnsi="Trebuchet MS"/>
          <w:b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08018C" w:rsidRPr="00F962A1" w14:paraId="5ED2ECD7" w14:textId="77777777">
        <w:trPr>
          <w:jc w:val="center"/>
        </w:trPr>
        <w:tc>
          <w:tcPr>
            <w:tcW w:w="1134" w:type="dxa"/>
            <w:vAlign w:val="center"/>
          </w:tcPr>
          <w:p w14:paraId="386C2EDE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Grupos</w:t>
            </w:r>
          </w:p>
        </w:tc>
        <w:tc>
          <w:tcPr>
            <w:tcW w:w="6804" w:type="dxa"/>
            <w:vAlign w:val="center"/>
          </w:tcPr>
          <w:p w14:paraId="294EC9B3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Conteúdos</w:t>
            </w:r>
          </w:p>
        </w:tc>
        <w:tc>
          <w:tcPr>
            <w:tcW w:w="1312" w:type="dxa"/>
            <w:vAlign w:val="center"/>
          </w:tcPr>
          <w:p w14:paraId="4E9CA3B4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Cotação</w:t>
            </w:r>
          </w:p>
          <w:p w14:paraId="6A411BC3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08018C" w:rsidRPr="00F962A1" w14:paraId="294A3259" w14:textId="77777777">
        <w:trPr>
          <w:jc w:val="center"/>
        </w:trPr>
        <w:tc>
          <w:tcPr>
            <w:tcW w:w="1134" w:type="dxa"/>
            <w:vAlign w:val="center"/>
          </w:tcPr>
          <w:p w14:paraId="5CD4EE9D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</w:t>
            </w:r>
          </w:p>
        </w:tc>
        <w:tc>
          <w:tcPr>
            <w:tcW w:w="6804" w:type="dxa"/>
          </w:tcPr>
          <w:p w14:paraId="6FD2D632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1. As transformações económicas na Europa e no Mundo</w:t>
            </w:r>
          </w:p>
          <w:p w14:paraId="06704237" w14:textId="77777777" w:rsidR="0008018C" w:rsidRPr="001C01EA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1.1. A expansão da revolução industrial</w:t>
            </w:r>
          </w:p>
          <w:p w14:paraId="1BA8E9CF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Novos inventos e novas fontes de energia; a ligação ciência-técnica.</w:t>
            </w:r>
          </w:p>
          <w:p w14:paraId="3A1E7C06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Concentração industrial e bancária; racionalização do trabalho.</w:t>
            </w:r>
          </w:p>
          <w:p w14:paraId="3E88B325" w14:textId="77777777" w:rsidR="0008018C" w:rsidRPr="001C01EA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1.2. A geografia da industrialização</w:t>
            </w:r>
          </w:p>
          <w:p w14:paraId="1D4D586D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hegemonia inglesa. A afirmação de novas potências; a permanência de formas de economia tradicional.</w:t>
            </w:r>
          </w:p>
          <w:p w14:paraId="3B461A1A" w14:textId="77777777" w:rsidR="0008018C" w:rsidRPr="001C01EA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1.3. A agudização das diferenças</w:t>
            </w:r>
          </w:p>
          <w:p w14:paraId="0B641C62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confiança nos mecanismos auto-reguladores do mercado. As crises do capitalismo.</w:t>
            </w:r>
          </w:p>
          <w:p w14:paraId="1AA19347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mercado internacional e a divisão internacional do trabalho.</w:t>
            </w:r>
          </w:p>
          <w:p w14:paraId="439BBCB2" w14:textId="77777777" w:rsidR="0008018C" w:rsidRPr="00B42A0F" w:rsidRDefault="0008018C" w:rsidP="00CA1D94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48A2D174" w14:textId="77777777" w:rsidR="0008018C" w:rsidRPr="00F962A1" w:rsidRDefault="0008018C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08018C" w:rsidRPr="00F962A1" w14:paraId="7EB927C9" w14:textId="77777777">
        <w:trPr>
          <w:jc w:val="center"/>
        </w:trPr>
        <w:tc>
          <w:tcPr>
            <w:tcW w:w="1134" w:type="dxa"/>
            <w:vAlign w:val="center"/>
          </w:tcPr>
          <w:p w14:paraId="1E7A46B1" w14:textId="77777777" w:rsidR="0008018C" w:rsidRPr="00F962A1" w:rsidRDefault="0008018C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</w:t>
            </w:r>
          </w:p>
        </w:tc>
        <w:tc>
          <w:tcPr>
            <w:tcW w:w="6804" w:type="dxa"/>
          </w:tcPr>
          <w:p w14:paraId="53F6BD48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A sociedade industrial e urbana</w:t>
            </w:r>
          </w:p>
          <w:p w14:paraId="3BC849D9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A explosão populacional; a expansão urbana e o novo urbanismo; migrações internas e emigração.</w:t>
            </w:r>
          </w:p>
          <w:p w14:paraId="0DC5E9BE" w14:textId="77777777" w:rsidR="0008018C" w:rsidRPr="001C01EA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2.2. Unidade e diversidade da sociedade oitocentista</w:t>
            </w:r>
          </w:p>
          <w:p w14:paraId="7CA4E4AD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condição burguesa: proliferação do terciário e incremento das classes médias; valores e comportamentos.</w:t>
            </w:r>
          </w:p>
          <w:p w14:paraId="5CE5CC10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condição operária: salários e modos de vida. Associativismo e sindicalismo; as propostas socialistas de transformação revolucionária da sociedade.</w:t>
            </w:r>
          </w:p>
          <w:p w14:paraId="76D26E88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</w:p>
          <w:p w14:paraId="01E746C1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4. Portugal, uma sociedade capitalista dependente</w:t>
            </w:r>
          </w:p>
          <w:p w14:paraId="20920A98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Regeneração entre o livre-cambismo e o proteccionismo (1850-80): o desenvolvimento de infra-estruturas; a dinamização da actividade produtiva; a necessidade de capitais e os mecanismos da dependência.</w:t>
            </w:r>
          </w:p>
          <w:p w14:paraId="1DAD30B5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Entre a depressão e a expansão (1880-1914): a crise financeira de 1880-90 e o surto industrial de final de século.</w:t>
            </w:r>
          </w:p>
          <w:p w14:paraId="18323ED0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transformações do regime político na viragem do século: os problemas da sociedade portuguesa e a contestação da monarquia; a solução republicana e parlamentar - a Primeira República.</w:t>
            </w:r>
          </w:p>
          <w:p w14:paraId="5AA067BC" w14:textId="77777777" w:rsidR="0008018C" w:rsidRPr="00B42A0F" w:rsidRDefault="0008018C" w:rsidP="00CA1D94">
            <w:pPr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6B87DA6" w14:textId="77777777" w:rsidR="0008018C" w:rsidRPr="00F962A1" w:rsidRDefault="0008018C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80 pontos</w:t>
            </w:r>
          </w:p>
        </w:tc>
      </w:tr>
      <w:tr w:rsidR="0008018C" w:rsidRPr="00F962A1" w14:paraId="72CA0E5C" w14:textId="77777777">
        <w:trPr>
          <w:jc w:val="center"/>
        </w:trPr>
        <w:tc>
          <w:tcPr>
            <w:tcW w:w="1134" w:type="dxa"/>
            <w:vAlign w:val="center"/>
          </w:tcPr>
          <w:p w14:paraId="20384C19" w14:textId="77777777" w:rsidR="0008018C" w:rsidRPr="00F962A1" w:rsidRDefault="0008018C" w:rsidP="00CA1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III</w:t>
            </w:r>
          </w:p>
        </w:tc>
        <w:tc>
          <w:tcPr>
            <w:tcW w:w="6804" w:type="dxa"/>
          </w:tcPr>
          <w:p w14:paraId="2ACC1B26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5. Os caminhos da cultura</w:t>
            </w:r>
          </w:p>
          <w:p w14:paraId="733A3FE4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confiança no progresso científico; avanço das ciências exactas e emergência das ciências sociais. A  progressiva generalização do ensino público.</w:t>
            </w:r>
          </w:p>
          <w:p w14:paraId="1CB20BC9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interesse pela realidade social na literatura e nas artes - as novas correntes estéticas na viragem do século.</w:t>
            </w:r>
          </w:p>
          <w:p w14:paraId="757ADE88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Portugal: o dinamismo cultural do último terço do século.</w:t>
            </w:r>
          </w:p>
          <w:p w14:paraId="05B7F04F" w14:textId="77777777" w:rsidR="0008018C" w:rsidRPr="00B42A0F" w:rsidRDefault="0008018C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C8AC590" w14:textId="77777777" w:rsidR="0008018C" w:rsidRPr="00F962A1" w:rsidRDefault="0008018C" w:rsidP="00CA1D94">
            <w:pPr>
              <w:jc w:val="center"/>
              <w:rPr>
                <w:color w:val="000000"/>
                <w:sz w:val="16"/>
              </w:rPr>
            </w:pPr>
            <w:r w:rsidRPr="00F962A1">
              <w:rPr>
                <w:rFonts w:ascii="Trebuchet MS" w:hAnsi="Trebuchet MS"/>
                <w:sz w:val="16"/>
              </w:rPr>
              <w:t>60 pontos</w:t>
            </w:r>
          </w:p>
        </w:tc>
      </w:tr>
    </w:tbl>
    <w:p w14:paraId="4C95D2BC" w14:textId="77777777" w:rsidR="0008018C" w:rsidRPr="009A07C4" w:rsidRDefault="0008018C" w:rsidP="00CA1D94">
      <w:pPr>
        <w:jc w:val="both"/>
        <w:rPr>
          <w:rFonts w:ascii="Trebuchet MS" w:hAnsi="Trebuchet MS"/>
          <w:b/>
          <w:sz w:val="20"/>
        </w:rPr>
      </w:pPr>
    </w:p>
    <w:p w14:paraId="2AC2651E" w14:textId="77777777" w:rsidR="0008018C" w:rsidRPr="009A07C4" w:rsidRDefault="0008018C" w:rsidP="00CA1D94">
      <w:pPr>
        <w:jc w:val="both"/>
        <w:rPr>
          <w:rFonts w:ascii="Trebuchet MS" w:hAnsi="Trebuchet MS"/>
          <w:b/>
          <w:sz w:val="20"/>
        </w:rPr>
      </w:pPr>
    </w:p>
    <w:p w14:paraId="7EADFC2C" w14:textId="77777777" w:rsidR="0008018C" w:rsidRPr="009A07C4" w:rsidRDefault="0008018C" w:rsidP="0031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 A prova é cotada para 200 pontos.</w:t>
      </w:r>
    </w:p>
    <w:p w14:paraId="73B020BD" w14:textId="77777777" w:rsidR="0008018C" w:rsidRPr="009A07C4" w:rsidRDefault="0008018C" w:rsidP="00313D90">
      <w:pPr>
        <w:jc w:val="both"/>
        <w:rPr>
          <w:rFonts w:ascii="Trebuchet MS" w:hAnsi="Trebuchet MS"/>
          <w:sz w:val="20"/>
        </w:rPr>
      </w:pPr>
    </w:p>
    <w:p w14:paraId="46E4DD22" w14:textId="77777777" w:rsidR="0008018C" w:rsidRDefault="0008018C" w:rsidP="0031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1F0650F9" w14:textId="77777777" w:rsidR="0078073E" w:rsidRDefault="0078073E" w:rsidP="00313D90">
      <w:pPr>
        <w:jc w:val="both"/>
        <w:rPr>
          <w:rFonts w:ascii="Trebuchet MS" w:hAnsi="Trebuchet MS"/>
          <w:sz w:val="20"/>
        </w:rPr>
      </w:pPr>
      <w:bookmarkStart w:id="0" w:name="_GoBack"/>
      <w:bookmarkEnd w:id="0"/>
    </w:p>
    <w:p w14:paraId="505D3101" w14:textId="77777777" w:rsidR="0078073E" w:rsidRDefault="0078073E" w:rsidP="00313D90">
      <w:pPr>
        <w:jc w:val="both"/>
        <w:rPr>
          <w:rFonts w:ascii="Trebuchet MS" w:hAnsi="Trebuchet MS"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78073E" w:rsidRPr="001A4E56" w14:paraId="7FBA6683" w14:textId="77777777" w:rsidTr="00083E45">
        <w:trPr>
          <w:jc w:val="center"/>
        </w:trPr>
        <w:tc>
          <w:tcPr>
            <w:tcW w:w="4536" w:type="dxa"/>
            <w:gridSpan w:val="2"/>
            <w:vAlign w:val="center"/>
          </w:tcPr>
          <w:p w14:paraId="222DD752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vAlign w:val="center"/>
          </w:tcPr>
          <w:p w14:paraId="53AA241A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4137E5F1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87D28FE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149A54F8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78073E" w:rsidRPr="001A4E56" w14:paraId="0A28C0FF" w14:textId="77777777" w:rsidTr="00083E45">
        <w:trPr>
          <w:trHeight w:val="284"/>
          <w:jc w:val="center"/>
        </w:trPr>
        <w:tc>
          <w:tcPr>
            <w:tcW w:w="2268" w:type="dxa"/>
            <w:vMerge w:val="restart"/>
            <w:vAlign w:val="center"/>
          </w:tcPr>
          <w:p w14:paraId="2CFBA72D" w14:textId="77777777" w:rsidR="0078073E" w:rsidRPr="00C92707" w:rsidRDefault="0078073E" w:rsidP="00083E45">
            <w:pPr>
              <w:jc w:val="center"/>
            </w:pPr>
            <w:r w:rsidRPr="001A4E5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vAlign w:val="center"/>
          </w:tcPr>
          <w:p w14:paraId="4D493F4A" w14:textId="77777777" w:rsidR="0078073E" w:rsidRPr="001A4E56" w:rsidRDefault="0078073E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vAlign w:val="center"/>
          </w:tcPr>
          <w:p w14:paraId="0E0DE0D6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5773B3F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30</w:t>
            </w:r>
          </w:p>
        </w:tc>
      </w:tr>
      <w:tr w:rsidR="0078073E" w:rsidRPr="001A4E56" w14:paraId="129FD821" w14:textId="77777777" w:rsidTr="00083E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14:paraId="5880B9B2" w14:textId="77777777" w:rsidR="0078073E" w:rsidRPr="001A4E56" w:rsidRDefault="0078073E" w:rsidP="00083E45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5D60D14E" w14:textId="77777777" w:rsidR="0078073E" w:rsidRPr="001A4E56" w:rsidRDefault="0078073E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vAlign w:val="center"/>
          </w:tcPr>
          <w:p w14:paraId="664A8FE6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557F6057" w14:textId="77777777" w:rsidR="0078073E" w:rsidRPr="001A4E56" w:rsidRDefault="0078073E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19331A65" w14:textId="77777777" w:rsidR="0078073E" w:rsidRPr="009A07C4" w:rsidRDefault="0078073E" w:rsidP="00313D90">
      <w:pPr>
        <w:jc w:val="both"/>
        <w:rPr>
          <w:rFonts w:ascii="Trebuchet MS" w:hAnsi="Trebuchet MS"/>
          <w:sz w:val="20"/>
        </w:rPr>
      </w:pPr>
    </w:p>
    <w:p w14:paraId="58885534" w14:textId="77777777" w:rsidR="0008018C" w:rsidRPr="009A07C4" w:rsidRDefault="0008018C" w:rsidP="00313D90">
      <w:pPr>
        <w:jc w:val="both"/>
        <w:rPr>
          <w:rFonts w:ascii="Trebuchet MS" w:hAnsi="Trebuchet MS"/>
          <w:sz w:val="20"/>
        </w:rPr>
      </w:pPr>
    </w:p>
    <w:p w14:paraId="151C9BB1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058D9272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2337DB49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30E43804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3E45C9A5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165590C4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6B9F702A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5E9EE79A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1127F1F7" w14:textId="77777777" w:rsidR="004868B4" w:rsidRPr="009A07C4" w:rsidRDefault="004868B4" w:rsidP="004868B4">
      <w:pPr>
        <w:jc w:val="both"/>
        <w:rPr>
          <w:rFonts w:ascii="Trebuchet MS" w:hAnsi="Trebuchet MS"/>
          <w:b/>
          <w:sz w:val="20"/>
        </w:rPr>
      </w:pPr>
    </w:p>
    <w:p w14:paraId="447A3D3D" w14:textId="77777777" w:rsidR="004868B4" w:rsidRPr="009A07C4" w:rsidRDefault="004868B4" w:rsidP="004868B4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208C22F5" w14:textId="77777777" w:rsidR="004868B4" w:rsidRPr="009A07C4" w:rsidRDefault="004868B4" w:rsidP="004868B4">
      <w:pPr>
        <w:jc w:val="both"/>
        <w:rPr>
          <w:rFonts w:ascii="Trebuchet MS" w:hAnsi="Trebuchet MS"/>
          <w:b/>
          <w:sz w:val="20"/>
        </w:rPr>
      </w:pPr>
    </w:p>
    <w:p w14:paraId="3B25C3A8" w14:textId="77777777" w:rsidR="004868B4" w:rsidRPr="00F962A1" w:rsidRDefault="004868B4" w:rsidP="004868B4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32CFD5C7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6A4913A6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1083B7C6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282DF30F" w14:textId="77777777" w:rsidR="004868B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05D24EE9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7029E68E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127ED258" w14:textId="77777777" w:rsidR="004868B4" w:rsidRPr="00CD4083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26583E15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22526361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4DBB391C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</w:p>
    <w:p w14:paraId="228ABBD8" w14:textId="77777777" w:rsidR="004868B4" w:rsidRPr="009A07C4" w:rsidRDefault="004868B4" w:rsidP="004868B4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3F550AAF" w14:textId="77777777" w:rsidR="004868B4" w:rsidRDefault="004868B4" w:rsidP="004868B4">
      <w:pPr>
        <w:jc w:val="both"/>
        <w:rPr>
          <w:rFonts w:ascii="Trebuchet MS" w:hAnsi="Trebuchet MS"/>
        </w:rPr>
      </w:pPr>
    </w:p>
    <w:p w14:paraId="3C87C4C6" w14:textId="77777777" w:rsidR="004868B4" w:rsidRPr="00376590" w:rsidRDefault="004868B4" w:rsidP="004868B4">
      <w:pPr>
        <w:jc w:val="both"/>
        <w:rPr>
          <w:rFonts w:ascii="Calibri" w:hAnsi="Calibri"/>
        </w:rPr>
      </w:pPr>
    </w:p>
    <w:p w14:paraId="3F94BAAB" w14:textId="77777777" w:rsidR="004868B4" w:rsidRPr="00376590" w:rsidRDefault="004868B4" w:rsidP="004868B4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4868B4" w:rsidRPr="00376590" w14:paraId="422853F5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47CA0AB0" w14:textId="77777777" w:rsidR="004868B4" w:rsidRPr="00376590" w:rsidRDefault="004868B4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2D08D03D" w14:textId="77777777" w:rsidR="004868B4" w:rsidRPr="00376590" w:rsidRDefault="004868B4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462986E2" w14:textId="77777777" w:rsidR="004868B4" w:rsidRPr="00376590" w:rsidRDefault="004868B4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4868B4" w:rsidRPr="00376590" w14:paraId="7C2996E4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029BF43" w14:textId="77777777" w:rsidR="004868B4" w:rsidRPr="00376590" w:rsidRDefault="004868B4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7C9B3E55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6AB350A4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4868B4" w:rsidRPr="00376590" w14:paraId="44B49D4B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28E9792" w14:textId="77777777" w:rsidR="004868B4" w:rsidRPr="00376590" w:rsidRDefault="004868B4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1359A7DD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71898B5F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4868B4" w:rsidRPr="00376590" w14:paraId="69FEF090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00321BB" w14:textId="77777777" w:rsidR="004868B4" w:rsidRPr="00376590" w:rsidRDefault="004868B4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7331FAD1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5F7015BE" w14:textId="77777777" w:rsidR="004868B4" w:rsidRPr="00376590" w:rsidRDefault="004868B4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745FBCA5" w14:textId="77777777" w:rsidR="004868B4" w:rsidRDefault="004868B4" w:rsidP="004868B4">
      <w:pPr>
        <w:jc w:val="both"/>
        <w:rPr>
          <w:rFonts w:ascii="Calibri" w:hAnsi="Calibri"/>
          <w:sz w:val="20"/>
          <w:szCs w:val="20"/>
        </w:rPr>
      </w:pPr>
    </w:p>
    <w:p w14:paraId="17D4FB35" w14:textId="77777777" w:rsidR="004868B4" w:rsidRPr="00376590" w:rsidRDefault="004868B4" w:rsidP="004868B4">
      <w:pPr>
        <w:jc w:val="both"/>
        <w:rPr>
          <w:rFonts w:ascii="Calibri" w:hAnsi="Calibri"/>
          <w:sz w:val="20"/>
          <w:szCs w:val="20"/>
        </w:rPr>
      </w:pPr>
    </w:p>
    <w:p w14:paraId="60B5DE11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3C152CC2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</w:p>
    <w:p w14:paraId="1362EE9D" w14:textId="77777777" w:rsidR="004868B4" w:rsidRPr="00376590" w:rsidRDefault="004868B4" w:rsidP="004868B4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5568B23C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</w:p>
    <w:p w14:paraId="2C8A804A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58685E37" w14:textId="77777777" w:rsidR="004868B4" w:rsidRDefault="004868B4" w:rsidP="004868B4">
      <w:pPr>
        <w:jc w:val="both"/>
        <w:rPr>
          <w:rFonts w:ascii="Trebuchet MS" w:hAnsi="Trebuchet MS"/>
          <w:sz w:val="20"/>
          <w:szCs w:val="20"/>
        </w:rPr>
      </w:pPr>
    </w:p>
    <w:p w14:paraId="36F33AD3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2C247823" w14:textId="77777777" w:rsidR="004868B4" w:rsidRDefault="004868B4" w:rsidP="004868B4">
      <w:pPr>
        <w:jc w:val="both"/>
        <w:rPr>
          <w:rFonts w:ascii="Trebuchet MS" w:hAnsi="Trebuchet MS"/>
          <w:sz w:val="20"/>
          <w:szCs w:val="20"/>
        </w:rPr>
      </w:pPr>
    </w:p>
    <w:p w14:paraId="0E219522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p w14:paraId="3962F897" w14:textId="77777777" w:rsidR="004868B4" w:rsidRPr="00376590" w:rsidRDefault="004868B4" w:rsidP="004868B4">
      <w:pPr>
        <w:jc w:val="both"/>
        <w:rPr>
          <w:rFonts w:ascii="Trebuchet MS" w:hAnsi="Trebuchet MS"/>
          <w:sz w:val="20"/>
          <w:szCs w:val="20"/>
        </w:rPr>
      </w:pPr>
    </w:p>
    <w:p w14:paraId="24E79E63" w14:textId="77777777" w:rsidR="004868B4" w:rsidRPr="009A07C4" w:rsidRDefault="004868B4" w:rsidP="004868B4">
      <w:pPr>
        <w:jc w:val="both"/>
        <w:rPr>
          <w:rFonts w:ascii="Trebuchet MS" w:hAnsi="Trebuchet MS"/>
        </w:rPr>
      </w:pPr>
    </w:p>
    <w:p w14:paraId="0089BC5F" w14:textId="77777777" w:rsidR="0008018C" w:rsidRPr="009A07C4" w:rsidRDefault="0008018C" w:rsidP="004868B4">
      <w:pPr>
        <w:jc w:val="both"/>
        <w:rPr>
          <w:rFonts w:ascii="Trebuchet MS" w:hAnsi="Trebuchet MS"/>
        </w:rPr>
      </w:pPr>
    </w:p>
    <w:sectPr w:rsidR="0008018C" w:rsidRPr="009A07C4" w:rsidSect="00CA1D94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037D7F"/>
    <w:rsid w:val="0008018C"/>
    <w:rsid w:val="004868B4"/>
    <w:rsid w:val="00702CFD"/>
    <w:rsid w:val="0078073E"/>
    <w:rsid w:val="008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771FC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78073E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78073E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37D7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37D7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78073E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78073E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37D7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37D7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4456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6</cp:revision>
  <dcterms:created xsi:type="dcterms:W3CDTF">2015-10-04T16:05:00Z</dcterms:created>
  <dcterms:modified xsi:type="dcterms:W3CDTF">2015-10-04T17:14:00Z</dcterms:modified>
</cp:coreProperties>
</file>